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EC" w:rsidRDefault="00E30C6F">
      <w:pPr>
        <w:rPr>
          <w:lang w:val="en-US"/>
        </w:rPr>
      </w:pPr>
      <w:r>
        <w:rPr>
          <w:lang w:val="en-US"/>
        </w:rPr>
        <w:t>ENERGY INDUSTRIES</w:t>
      </w:r>
      <w:r>
        <w:rPr>
          <w:lang w:val="en-US"/>
        </w:rPr>
        <w:tab/>
      </w:r>
    </w:p>
    <w:tbl>
      <w:tblPr>
        <w:tblStyle w:val="TableGrid"/>
        <w:tblW w:w="0" w:type="auto"/>
        <w:tblLook w:val="04A0" w:firstRow="1" w:lastRow="0" w:firstColumn="1" w:lastColumn="0" w:noHBand="0" w:noVBand="1"/>
      </w:tblPr>
      <w:tblGrid>
        <w:gridCol w:w="1028"/>
        <w:gridCol w:w="3645"/>
        <w:gridCol w:w="1418"/>
        <w:gridCol w:w="7901"/>
      </w:tblGrid>
      <w:tr w:rsidR="00E30C6F" w:rsidRPr="00E30C6F" w:rsidTr="005F469B">
        <w:trPr>
          <w:tblHeader/>
        </w:trPr>
        <w:tc>
          <w:tcPr>
            <w:tcW w:w="1028" w:type="dxa"/>
          </w:tcPr>
          <w:p w:rsidR="00E30C6F" w:rsidRPr="00E30C6F" w:rsidRDefault="00E30C6F" w:rsidP="00E30C6F">
            <w:pPr>
              <w:rPr>
                <w:rFonts w:ascii="Arial" w:eastAsia="Times New Roman" w:hAnsi="Arial" w:cs="Arial"/>
                <w:bCs/>
                <w:sz w:val="20"/>
                <w:szCs w:val="20"/>
                <w:lang w:val="en-GB"/>
              </w:rPr>
            </w:pPr>
          </w:p>
        </w:tc>
        <w:tc>
          <w:tcPr>
            <w:tcW w:w="3645"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Parameter</w:t>
            </w:r>
          </w:p>
        </w:tc>
        <w:tc>
          <w:tcPr>
            <w:tcW w:w="1418"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Units</w:t>
            </w:r>
          </w:p>
        </w:tc>
        <w:tc>
          <w:tcPr>
            <w:tcW w:w="7901"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Remarks</w:t>
            </w:r>
          </w:p>
        </w:tc>
      </w:tr>
      <w:tr w:rsidR="00E30C6F" w:rsidRPr="00E30C6F" w:rsidTr="005F469B">
        <w:tc>
          <w:tcPr>
            <w:tcW w:w="1028" w:type="dxa"/>
            <w:vMerge w:val="restart"/>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Grid Emission Factor</w:t>
            </w:r>
          </w:p>
        </w:tc>
        <w:tc>
          <w:tcPr>
            <w:tcW w:w="3645"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Share of Low Cost Must Run (LCMR) power plants/units in the electricity system in the past 5 years</w:t>
            </w:r>
          </w:p>
        </w:tc>
        <w:tc>
          <w:tcPr>
            <w:tcW w:w="1418"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 of total generation</w:t>
            </w:r>
          </w:p>
        </w:tc>
        <w:tc>
          <w:tcPr>
            <w:tcW w:w="7901"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All the parameters are as defined in the CDM Methodological Tool 07, version 5 – “Tool to calculate the emission factor of an electricity system” (UNFCCC, CDM, PA Methodologies, 2016)</w:t>
            </w:r>
          </w:p>
        </w:tc>
      </w:tr>
      <w:tr w:rsidR="00E30C6F" w:rsidRPr="00E30C6F" w:rsidTr="005F469B">
        <w:tc>
          <w:tcPr>
            <w:tcW w:w="1028" w:type="dxa"/>
            <w:vMerge/>
          </w:tcPr>
          <w:p w:rsidR="00E30C6F" w:rsidRPr="00E30C6F" w:rsidRDefault="00E30C6F" w:rsidP="00E30C6F">
            <w:pPr>
              <w:rPr>
                <w:rFonts w:ascii="Arial" w:eastAsia="Times New Roman" w:hAnsi="Arial" w:cs="Arial"/>
                <w:bCs/>
                <w:sz w:val="20"/>
                <w:szCs w:val="20"/>
                <w:lang w:val="en-GB"/>
              </w:rPr>
            </w:pPr>
          </w:p>
        </w:tc>
        <w:tc>
          <w:tcPr>
            <w:tcW w:w="3645"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 xml:space="preserve">Annual data from each power plant/unit on power generation </w:t>
            </w:r>
          </w:p>
        </w:tc>
        <w:tc>
          <w:tcPr>
            <w:tcW w:w="1418"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MWh</w:t>
            </w:r>
          </w:p>
        </w:tc>
        <w:tc>
          <w:tcPr>
            <w:tcW w:w="7901"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Data should be measured using calibrated meters and collected using the Quality Assurance System (QAS) established by the CEB.</w:t>
            </w:r>
          </w:p>
        </w:tc>
      </w:tr>
      <w:tr w:rsidR="00E30C6F" w:rsidRPr="00E30C6F" w:rsidTr="005F469B">
        <w:tc>
          <w:tcPr>
            <w:tcW w:w="1028" w:type="dxa"/>
            <w:vMerge/>
          </w:tcPr>
          <w:p w:rsidR="00E30C6F" w:rsidRPr="00E30C6F" w:rsidRDefault="00E30C6F" w:rsidP="00E30C6F">
            <w:pPr>
              <w:rPr>
                <w:rFonts w:ascii="Arial" w:eastAsia="Times New Roman" w:hAnsi="Arial" w:cs="Arial"/>
                <w:bCs/>
                <w:sz w:val="20"/>
                <w:szCs w:val="20"/>
                <w:lang w:val="en-GB"/>
              </w:rPr>
            </w:pPr>
          </w:p>
        </w:tc>
        <w:tc>
          <w:tcPr>
            <w:tcW w:w="3645"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Annual data from each power plant/unit on fuel type</w:t>
            </w:r>
          </w:p>
        </w:tc>
        <w:tc>
          <w:tcPr>
            <w:tcW w:w="1418" w:type="dxa"/>
            <w:vAlign w:val="center"/>
          </w:tcPr>
          <w:p w:rsidR="00E30C6F" w:rsidRPr="00E30C6F" w:rsidRDefault="00E30C6F" w:rsidP="00E30C6F">
            <w:pPr>
              <w:jc w:val="center"/>
              <w:rPr>
                <w:rFonts w:ascii="Arial" w:eastAsia="Times New Roman" w:hAnsi="Arial" w:cs="Arial"/>
                <w:bCs/>
                <w:sz w:val="20"/>
                <w:szCs w:val="20"/>
                <w:lang w:val="en-GB"/>
              </w:rPr>
            </w:pPr>
          </w:p>
        </w:tc>
        <w:tc>
          <w:tcPr>
            <w:tcW w:w="7901"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The fuel type determines the fuels for which emission factors and net calorific values (NCV) are needed.</w:t>
            </w:r>
          </w:p>
        </w:tc>
      </w:tr>
      <w:tr w:rsidR="00E30C6F" w:rsidRPr="00E30C6F" w:rsidTr="005F469B">
        <w:tc>
          <w:tcPr>
            <w:tcW w:w="1028" w:type="dxa"/>
            <w:vMerge/>
          </w:tcPr>
          <w:p w:rsidR="00E30C6F" w:rsidRPr="00E30C6F" w:rsidRDefault="00E30C6F" w:rsidP="00E30C6F">
            <w:pPr>
              <w:rPr>
                <w:rFonts w:ascii="Arial" w:eastAsia="Times New Roman" w:hAnsi="Arial" w:cs="Arial"/>
                <w:bCs/>
                <w:sz w:val="20"/>
                <w:szCs w:val="20"/>
                <w:lang w:val="en-GB"/>
              </w:rPr>
            </w:pPr>
          </w:p>
        </w:tc>
        <w:tc>
          <w:tcPr>
            <w:tcW w:w="3645"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Annual data from each power plant on fuel/unit consumption</w:t>
            </w:r>
          </w:p>
        </w:tc>
        <w:tc>
          <w:tcPr>
            <w:tcW w:w="1418"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t</w:t>
            </w:r>
          </w:p>
        </w:tc>
        <w:tc>
          <w:tcPr>
            <w:tcW w:w="7901"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Data are recorded using the QAS established by the CEB.</w:t>
            </w:r>
          </w:p>
        </w:tc>
      </w:tr>
      <w:tr w:rsidR="00E30C6F" w:rsidRPr="00E30C6F" w:rsidTr="005F469B">
        <w:tc>
          <w:tcPr>
            <w:tcW w:w="1028" w:type="dxa"/>
            <w:vMerge/>
          </w:tcPr>
          <w:p w:rsidR="00E30C6F" w:rsidRPr="00E30C6F" w:rsidRDefault="00E30C6F" w:rsidP="00E30C6F">
            <w:pPr>
              <w:rPr>
                <w:rFonts w:ascii="Arial" w:eastAsia="Times New Roman" w:hAnsi="Arial" w:cs="Arial"/>
                <w:bCs/>
                <w:sz w:val="20"/>
                <w:szCs w:val="20"/>
                <w:lang w:val="en-GB"/>
              </w:rPr>
            </w:pPr>
          </w:p>
        </w:tc>
        <w:tc>
          <w:tcPr>
            <w:tcW w:w="3645"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NCV of each type of fuel used in power plants/units</w:t>
            </w:r>
          </w:p>
        </w:tc>
        <w:tc>
          <w:tcPr>
            <w:tcW w:w="1418"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GJ/tonne fuel</w:t>
            </w:r>
          </w:p>
        </w:tc>
        <w:tc>
          <w:tcPr>
            <w:tcW w:w="7901"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Uses laboratory data from CEB for fuel oil and kerosene, and IPPs for coal.</w:t>
            </w:r>
          </w:p>
        </w:tc>
      </w:tr>
      <w:tr w:rsidR="00E30C6F" w:rsidRPr="00E30C6F" w:rsidTr="005F469B">
        <w:tc>
          <w:tcPr>
            <w:tcW w:w="1028" w:type="dxa"/>
            <w:vMerge/>
          </w:tcPr>
          <w:p w:rsidR="00E30C6F" w:rsidRPr="00E30C6F" w:rsidRDefault="00E30C6F" w:rsidP="00E30C6F">
            <w:pPr>
              <w:rPr>
                <w:rFonts w:ascii="Arial" w:eastAsia="Times New Roman" w:hAnsi="Arial" w:cs="Arial"/>
                <w:bCs/>
                <w:sz w:val="20"/>
                <w:szCs w:val="20"/>
                <w:lang w:val="en-GB"/>
              </w:rPr>
            </w:pPr>
          </w:p>
        </w:tc>
        <w:tc>
          <w:tcPr>
            <w:tcW w:w="3645"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Emission factor of each type of fuel used in power plants/units</w:t>
            </w:r>
          </w:p>
        </w:tc>
        <w:tc>
          <w:tcPr>
            <w:tcW w:w="1418"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tCO</w:t>
            </w:r>
            <w:r w:rsidRPr="00E30C6F">
              <w:rPr>
                <w:rFonts w:ascii="Arial" w:eastAsia="Times New Roman" w:hAnsi="Arial" w:cs="Arial"/>
                <w:bCs/>
                <w:sz w:val="20"/>
                <w:szCs w:val="20"/>
                <w:vertAlign w:val="subscript"/>
                <w:lang w:val="en-GB"/>
              </w:rPr>
              <w:t>2</w:t>
            </w:r>
            <w:r w:rsidRPr="00E30C6F">
              <w:rPr>
                <w:rFonts w:ascii="Arial" w:eastAsia="Times New Roman" w:hAnsi="Arial" w:cs="Arial"/>
                <w:bCs/>
                <w:sz w:val="20"/>
                <w:szCs w:val="20"/>
                <w:lang w:val="en-GB"/>
              </w:rPr>
              <w:t>/GJ</w:t>
            </w:r>
          </w:p>
        </w:tc>
        <w:tc>
          <w:tcPr>
            <w:tcW w:w="7901"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Uses IPCC default values.</w:t>
            </w:r>
          </w:p>
        </w:tc>
      </w:tr>
      <w:tr w:rsidR="00E30C6F" w:rsidRPr="00E30C6F" w:rsidTr="005F469B">
        <w:tc>
          <w:tcPr>
            <w:tcW w:w="1028" w:type="dxa"/>
            <w:vMerge/>
          </w:tcPr>
          <w:p w:rsidR="00E30C6F" w:rsidRPr="00E30C6F" w:rsidRDefault="00E30C6F" w:rsidP="00E30C6F">
            <w:pPr>
              <w:rPr>
                <w:rFonts w:ascii="Arial" w:eastAsia="Times New Roman" w:hAnsi="Arial" w:cs="Arial"/>
                <w:bCs/>
                <w:sz w:val="20"/>
                <w:szCs w:val="20"/>
                <w:lang w:val="en-GB"/>
              </w:rPr>
            </w:pPr>
          </w:p>
        </w:tc>
        <w:tc>
          <w:tcPr>
            <w:tcW w:w="3645"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Annual electricity generated from renewable energy sources</w:t>
            </w:r>
          </w:p>
        </w:tc>
        <w:tc>
          <w:tcPr>
            <w:tcW w:w="1418"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MWh</w:t>
            </w:r>
          </w:p>
        </w:tc>
        <w:tc>
          <w:tcPr>
            <w:tcW w:w="7901"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Data should be measured using calibrated meters and collected using the QAS established by the CEB</w:t>
            </w:r>
          </w:p>
        </w:tc>
      </w:tr>
      <w:tr w:rsidR="00E30C6F" w:rsidRPr="00E30C6F" w:rsidTr="005F469B">
        <w:tc>
          <w:tcPr>
            <w:tcW w:w="1028" w:type="dxa"/>
            <w:vMerge/>
          </w:tcPr>
          <w:p w:rsidR="00E30C6F" w:rsidRPr="00E30C6F" w:rsidRDefault="00E30C6F" w:rsidP="00E30C6F">
            <w:pPr>
              <w:rPr>
                <w:rFonts w:ascii="Arial" w:eastAsia="Times New Roman" w:hAnsi="Arial" w:cs="Arial"/>
                <w:bCs/>
                <w:sz w:val="20"/>
                <w:szCs w:val="20"/>
                <w:lang w:val="en-GB"/>
              </w:rPr>
            </w:pPr>
          </w:p>
        </w:tc>
        <w:tc>
          <w:tcPr>
            <w:tcW w:w="3645"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Avoided electricity through demand side management</w:t>
            </w:r>
          </w:p>
        </w:tc>
        <w:tc>
          <w:tcPr>
            <w:tcW w:w="1418"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MWh</w:t>
            </w:r>
          </w:p>
        </w:tc>
        <w:tc>
          <w:tcPr>
            <w:tcW w:w="7901" w:type="dxa"/>
            <w:vAlign w:val="center"/>
          </w:tcPr>
          <w:p w:rsidR="00E30C6F" w:rsidRPr="00E30C6F" w:rsidRDefault="00E30C6F" w:rsidP="00E30C6F">
            <w:pPr>
              <w:numPr>
                <w:ilvl w:val="0"/>
                <w:numId w:val="1"/>
              </w:numPr>
              <w:spacing w:line="259" w:lineRule="auto"/>
              <w:ind w:left="317"/>
              <w:contextualSpacing/>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Reduction in electricity use against historical baseline</w:t>
            </w:r>
          </w:p>
          <w:p w:rsidR="00E30C6F" w:rsidRPr="00E30C6F" w:rsidRDefault="00E30C6F" w:rsidP="00E30C6F">
            <w:pPr>
              <w:numPr>
                <w:ilvl w:val="0"/>
                <w:numId w:val="1"/>
              </w:numPr>
              <w:spacing w:line="259" w:lineRule="auto"/>
              <w:ind w:left="317"/>
              <w:contextualSpacing/>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Surveys carried out by EEMO</w:t>
            </w:r>
          </w:p>
          <w:p w:rsidR="00E30C6F" w:rsidRPr="00E30C6F" w:rsidRDefault="00E30C6F" w:rsidP="00E30C6F">
            <w:pPr>
              <w:numPr>
                <w:ilvl w:val="0"/>
                <w:numId w:val="1"/>
              </w:numPr>
              <w:spacing w:line="259" w:lineRule="auto"/>
              <w:ind w:left="317"/>
              <w:contextualSpacing/>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Data collected during energy audits</w:t>
            </w:r>
          </w:p>
          <w:p w:rsidR="00E30C6F" w:rsidRPr="00E30C6F" w:rsidRDefault="00E30C6F" w:rsidP="00E30C6F">
            <w:pPr>
              <w:numPr>
                <w:ilvl w:val="0"/>
                <w:numId w:val="1"/>
              </w:numPr>
              <w:spacing w:line="259" w:lineRule="auto"/>
              <w:ind w:left="317"/>
              <w:contextualSpacing/>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At the project level, the parameters defined in CDM Approved Small-Scale methodologies, such as AMS-II.C; II.D; II.E; II.J; II.L; II.N; II.O; II.Q; II.R; II.S need to be measured (UNFCCC, CDM, SSC Methodologies, 2016).</w:t>
            </w:r>
          </w:p>
        </w:tc>
      </w:tr>
    </w:tbl>
    <w:p w:rsidR="00E30C6F" w:rsidRDefault="00E30C6F">
      <w:pPr>
        <w:rPr>
          <w:lang w:val="en-US"/>
        </w:rPr>
      </w:pPr>
    </w:p>
    <w:p w:rsidR="00E30C6F" w:rsidRDefault="00E30C6F">
      <w:pPr>
        <w:rPr>
          <w:lang w:val="en-US"/>
        </w:rPr>
      </w:pPr>
      <w:r>
        <w:rPr>
          <w:lang w:val="en-US"/>
        </w:rPr>
        <w:t>LAND TRANSPORT</w:t>
      </w:r>
    </w:p>
    <w:tbl>
      <w:tblPr>
        <w:tblStyle w:val="TableGrid"/>
        <w:tblW w:w="0" w:type="auto"/>
        <w:tblLook w:val="04A0" w:firstRow="1" w:lastRow="0" w:firstColumn="1" w:lastColumn="0" w:noHBand="0" w:noVBand="1"/>
      </w:tblPr>
      <w:tblGrid>
        <w:gridCol w:w="1173"/>
        <w:gridCol w:w="4492"/>
        <w:gridCol w:w="1276"/>
        <w:gridCol w:w="7051"/>
      </w:tblGrid>
      <w:tr w:rsidR="00E30C6F" w:rsidRPr="00E30C6F" w:rsidTr="005F469B">
        <w:trPr>
          <w:tblHeader/>
        </w:trPr>
        <w:tc>
          <w:tcPr>
            <w:tcW w:w="1173" w:type="dxa"/>
          </w:tcPr>
          <w:p w:rsidR="00E30C6F" w:rsidRPr="00E30C6F" w:rsidRDefault="00E30C6F" w:rsidP="00E30C6F">
            <w:pPr>
              <w:rPr>
                <w:rFonts w:ascii="Arial" w:eastAsia="Times New Roman" w:hAnsi="Arial" w:cs="Arial"/>
                <w:bCs/>
                <w:sz w:val="20"/>
                <w:szCs w:val="20"/>
                <w:lang w:val="en-GB"/>
              </w:rPr>
            </w:pPr>
          </w:p>
        </w:tc>
        <w:tc>
          <w:tcPr>
            <w:tcW w:w="4492"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Parameter</w:t>
            </w:r>
          </w:p>
        </w:tc>
        <w:tc>
          <w:tcPr>
            <w:tcW w:w="1276"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Units</w:t>
            </w:r>
          </w:p>
        </w:tc>
        <w:tc>
          <w:tcPr>
            <w:tcW w:w="7051"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Remarks</w:t>
            </w:r>
          </w:p>
        </w:tc>
      </w:tr>
      <w:tr w:rsidR="00E30C6F" w:rsidRPr="00E30C6F" w:rsidTr="005F469B">
        <w:tc>
          <w:tcPr>
            <w:tcW w:w="1173" w:type="dxa"/>
            <w:vMerge w:val="restart"/>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Passenger Mobility</w:t>
            </w:r>
          </w:p>
        </w:tc>
        <w:tc>
          <w:tcPr>
            <w:tcW w:w="4492"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Average annual distance travelled by different types of passenger vehicles (e.g. two-wheelers, car, bus, DPV) and broken down by fuel type (e.g. LPG, gasoline, diesel, hybrid, electric)</w:t>
            </w:r>
          </w:p>
        </w:tc>
        <w:tc>
          <w:tcPr>
            <w:tcW w:w="1276"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km per year</w:t>
            </w:r>
          </w:p>
        </w:tc>
        <w:tc>
          <w:tcPr>
            <w:tcW w:w="7051"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This has to be carried out through sampling and is a parameter that may be collected by the road worthiness test centres.</w:t>
            </w:r>
          </w:p>
        </w:tc>
      </w:tr>
      <w:tr w:rsidR="00E30C6F" w:rsidRPr="00E30C6F" w:rsidTr="005F469B">
        <w:tc>
          <w:tcPr>
            <w:tcW w:w="1173" w:type="dxa"/>
            <w:vMerge/>
          </w:tcPr>
          <w:p w:rsidR="00E30C6F" w:rsidRPr="00E30C6F" w:rsidRDefault="00E30C6F" w:rsidP="00E30C6F">
            <w:pPr>
              <w:rPr>
                <w:rFonts w:ascii="Arial" w:eastAsia="Times New Roman" w:hAnsi="Arial" w:cs="Arial"/>
                <w:bCs/>
                <w:sz w:val="20"/>
                <w:szCs w:val="20"/>
                <w:lang w:val="en-GB"/>
              </w:rPr>
            </w:pPr>
          </w:p>
        </w:tc>
        <w:tc>
          <w:tcPr>
            <w:tcW w:w="4492"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Average occupancy of different types of passenger vehicles and broken down by fuel type</w:t>
            </w:r>
          </w:p>
        </w:tc>
        <w:tc>
          <w:tcPr>
            <w:tcW w:w="1276"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Number of passengers</w:t>
            </w:r>
          </w:p>
        </w:tc>
        <w:tc>
          <w:tcPr>
            <w:tcW w:w="7051"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Data should be measured through surveys.</w:t>
            </w:r>
          </w:p>
        </w:tc>
      </w:tr>
      <w:tr w:rsidR="00E30C6F" w:rsidRPr="00E30C6F" w:rsidTr="005F469B">
        <w:tc>
          <w:tcPr>
            <w:tcW w:w="1173" w:type="dxa"/>
            <w:vMerge/>
          </w:tcPr>
          <w:p w:rsidR="00E30C6F" w:rsidRPr="00E30C6F" w:rsidRDefault="00E30C6F" w:rsidP="00E30C6F">
            <w:pPr>
              <w:rPr>
                <w:rFonts w:ascii="Arial" w:eastAsia="Times New Roman" w:hAnsi="Arial" w:cs="Arial"/>
                <w:bCs/>
                <w:sz w:val="20"/>
                <w:szCs w:val="20"/>
                <w:lang w:val="en-GB"/>
              </w:rPr>
            </w:pPr>
          </w:p>
        </w:tc>
        <w:tc>
          <w:tcPr>
            <w:tcW w:w="4492"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 xml:space="preserve">Average fuel consumption of different types of </w:t>
            </w:r>
            <w:r w:rsidRPr="00E30C6F">
              <w:rPr>
                <w:rFonts w:ascii="Arial" w:eastAsia="Times New Roman" w:hAnsi="Arial" w:cs="Arial"/>
                <w:bCs/>
                <w:sz w:val="20"/>
                <w:szCs w:val="20"/>
                <w:lang w:val="en-GB"/>
              </w:rPr>
              <w:lastRenderedPageBreak/>
              <w:t>passenger vehicles and broken down by fuel type</w:t>
            </w:r>
          </w:p>
        </w:tc>
        <w:tc>
          <w:tcPr>
            <w:tcW w:w="1276"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lastRenderedPageBreak/>
              <w:t xml:space="preserve">L fuel per </w:t>
            </w:r>
            <w:r w:rsidRPr="00E30C6F">
              <w:rPr>
                <w:rFonts w:ascii="Arial" w:eastAsia="Times New Roman" w:hAnsi="Arial" w:cs="Arial"/>
                <w:bCs/>
                <w:sz w:val="20"/>
                <w:szCs w:val="20"/>
                <w:lang w:val="en-GB"/>
              </w:rPr>
              <w:lastRenderedPageBreak/>
              <w:t>100km travelled</w:t>
            </w:r>
          </w:p>
        </w:tc>
        <w:tc>
          <w:tcPr>
            <w:tcW w:w="7051"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lastRenderedPageBreak/>
              <w:t xml:space="preserve">Data should be measured through surveys using methodology adopted by </w:t>
            </w:r>
            <w:r w:rsidRPr="00E30C6F">
              <w:rPr>
                <w:rFonts w:ascii="Arial" w:eastAsia="Times New Roman" w:hAnsi="Arial" w:cs="Arial"/>
                <w:bCs/>
                <w:sz w:val="20"/>
                <w:szCs w:val="20"/>
                <w:lang w:val="en-GB"/>
              </w:rPr>
              <w:lastRenderedPageBreak/>
              <w:t>the Global Fuel Economy Initiative (GFEI) project.</w:t>
            </w:r>
          </w:p>
        </w:tc>
      </w:tr>
      <w:tr w:rsidR="00E30C6F" w:rsidRPr="00E30C6F" w:rsidTr="005F469B">
        <w:tc>
          <w:tcPr>
            <w:tcW w:w="1173" w:type="dxa"/>
            <w:vMerge/>
          </w:tcPr>
          <w:p w:rsidR="00E30C6F" w:rsidRPr="00E30C6F" w:rsidRDefault="00E30C6F" w:rsidP="00E30C6F">
            <w:pPr>
              <w:rPr>
                <w:rFonts w:ascii="Arial" w:eastAsia="Times New Roman" w:hAnsi="Arial" w:cs="Arial"/>
                <w:bCs/>
                <w:sz w:val="20"/>
                <w:szCs w:val="20"/>
                <w:lang w:val="en-GB"/>
              </w:rPr>
            </w:pPr>
          </w:p>
        </w:tc>
        <w:tc>
          <w:tcPr>
            <w:tcW w:w="4492"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Number of registered passenger vehicles and broken down by fuel type</w:t>
            </w:r>
          </w:p>
        </w:tc>
        <w:tc>
          <w:tcPr>
            <w:tcW w:w="1276"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Number of passenger vehicles</w:t>
            </w:r>
          </w:p>
        </w:tc>
        <w:tc>
          <w:tcPr>
            <w:tcW w:w="7051"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Although these data are not used in the model, they can nevertheless be used to carry out cross verification of the model output.</w:t>
            </w:r>
          </w:p>
        </w:tc>
      </w:tr>
      <w:tr w:rsidR="00E30C6F" w:rsidRPr="00E30C6F" w:rsidTr="005F469B">
        <w:tc>
          <w:tcPr>
            <w:tcW w:w="1173" w:type="dxa"/>
            <w:vMerge/>
          </w:tcPr>
          <w:p w:rsidR="00E30C6F" w:rsidRPr="00E30C6F" w:rsidRDefault="00E30C6F" w:rsidP="00E30C6F">
            <w:pPr>
              <w:rPr>
                <w:rFonts w:ascii="Arial" w:eastAsia="Times New Roman" w:hAnsi="Arial" w:cs="Arial"/>
                <w:bCs/>
                <w:sz w:val="20"/>
                <w:szCs w:val="20"/>
                <w:lang w:val="en-GB"/>
              </w:rPr>
            </w:pPr>
          </w:p>
        </w:tc>
        <w:tc>
          <w:tcPr>
            <w:tcW w:w="4492"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NCV of each type of fuel used in vehicles</w:t>
            </w:r>
          </w:p>
        </w:tc>
        <w:tc>
          <w:tcPr>
            <w:tcW w:w="1276"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GJ/tonne fuel</w:t>
            </w:r>
          </w:p>
        </w:tc>
        <w:tc>
          <w:tcPr>
            <w:tcW w:w="7051"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Uses IPCC default values or can use laboratory data from national authorities (preferred).</w:t>
            </w:r>
          </w:p>
        </w:tc>
      </w:tr>
      <w:tr w:rsidR="00E30C6F" w:rsidRPr="00E30C6F" w:rsidTr="005F469B">
        <w:tc>
          <w:tcPr>
            <w:tcW w:w="1173" w:type="dxa"/>
            <w:vMerge/>
          </w:tcPr>
          <w:p w:rsidR="00E30C6F" w:rsidRPr="00E30C6F" w:rsidRDefault="00E30C6F" w:rsidP="00E30C6F">
            <w:pPr>
              <w:rPr>
                <w:rFonts w:ascii="Arial" w:eastAsia="Times New Roman" w:hAnsi="Arial" w:cs="Arial"/>
                <w:bCs/>
                <w:sz w:val="20"/>
                <w:szCs w:val="20"/>
                <w:lang w:val="en-GB"/>
              </w:rPr>
            </w:pPr>
          </w:p>
        </w:tc>
        <w:tc>
          <w:tcPr>
            <w:tcW w:w="4492"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Emission factor of each type of fuel used in passenger vehicles</w:t>
            </w:r>
          </w:p>
        </w:tc>
        <w:tc>
          <w:tcPr>
            <w:tcW w:w="1276"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tCO</w:t>
            </w:r>
            <w:r w:rsidRPr="00E30C6F">
              <w:rPr>
                <w:rFonts w:ascii="Arial" w:eastAsia="Times New Roman" w:hAnsi="Arial" w:cs="Arial"/>
                <w:bCs/>
                <w:sz w:val="20"/>
                <w:szCs w:val="20"/>
                <w:vertAlign w:val="subscript"/>
                <w:lang w:val="en-GB"/>
              </w:rPr>
              <w:t>2</w:t>
            </w:r>
            <w:r w:rsidRPr="00E30C6F">
              <w:rPr>
                <w:rFonts w:ascii="Arial" w:eastAsia="Times New Roman" w:hAnsi="Arial" w:cs="Arial"/>
                <w:bCs/>
                <w:sz w:val="20"/>
                <w:szCs w:val="20"/>
                <w:lang w:val="en-GB"/>
              </w:rPr>
              <w:t>/GJ</w:t>
            </w:r>
          </w:p>
        </w:tc>
        <w:tc>
          <w:tcPr>
            <w:tcW w:w="7051"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Uses IPCC default values or can use Tier 2 factors when available.</w:t>
            </w:r>
          </w:p>
        </w:tc>
      </w:tr>
      <w:tr w:rsidR="00E30C6F" w:rsidRPr="00E30C6F" w:rsidTr="005F469B">
        <w:tc>
          <w:tcPr>
            <w:tcW w:w="1173" w:type="dxa"/>
            <w:vMerge w:val="restart"/>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Freight Mobility</w:t>
            </w:r>
          </w:p>
        </w:tc>
        <w:tc>
          <w:tcPr>
            <w:tcW w:w="4492"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Average annual distance travelled by freight vehicles (diesel or gasoline)</w:t>
            </w:r>
          </w:p>
        </w:tc>
        <w:tc>
          <w:tcPr>
            <w:tcW w:w="1276"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Km per year</w:t>
            </w:r>
          </w:p>
        </w:tc>
        <w:tc>
          <w:tcPr>
            <w:tcW w:w="7051"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This has to be carried out through sampling and is a parameter that may be collected by the road worthiness test centres. Although not used in the model, it will be useful to collect data by categorising freight vehicles by tare or maximum load.</w:t>
            </w:r>
          </w:p>
        </w:tc>
      </w:tr>
      <w:tr w:rsidR="00E30C6F" w:rsidRPr="00E30C6F" w:rsidTr="005F469B">
        <w:tc>
          <w:tcPr>
            <w:tcW w:w="1173" w:type="dxa"/>
            <w:vMerge/>
          </w:tcPr>
          <w:p w:rsidR="00E30C6F" w:rsidRPr="00E30C6F" w:rsidRDefault="00E30C6F" w:rsidP="00E30C6F">
            <w:pPr>
              <w:rPr>
                <w:rFonts w:ascii="Arial" w:eastAsia="Times New Roman" w:hAnsi="Arial" w:cs="Arial"/>
                <w:bCs/>
                <w:sz w:val="20"/>
                <w:szCs w:val="20"/>
                <w:lang w:val="en-GB"/>
              </w:rPr>
            </w:pPr>
          </w:p>
        </w:tc>
        <w:tc>
          <w:tcPr>
            <w:tcW w:w="4492"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Average load of freight carried by vehicles</w:t>
            </w:r>
          </w:p>
        </w:tc>
        <w:tc>
          <w:tcPr>
            <w:tcW w:w="1276"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t</w:t>
            </w:r>
          </w:p>
        </w:tc>
        <w:tc>
          <w:tcPr>
            <w:tcW w:w="7051"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Data should be measured through surveys.</w:t>
            </w:r>
          </w:p>
        </w:tc>
      </w:tr>
      <w:tr w:rsidR="00E30C6F" w:rsidRPr="00E30C6F" w:rsidTr="005F469B">
        <w:tc>
          <w:tcPr>
            <w:tcW w:w="1173" w:type="dxa"/>
            <w:vMerge/>
          </w:tcPr>
          <w:p w:rsidR="00E30C6F" w:rsidRPr="00E30C6F" w:rsidRDefault="00E30C6F" w:rsidP="00E30C6F">
            <w:pPr>
              <w:rPr>
                <w:rFonts w:ascii="Arial" w:eastAsia="Times New Roman" w:hAnsi="Arial" w:cs="Arial"/>
                <w:bCs/>
                <w:sz w:val="20"/>
                <w:szCs w:val="20"/>
                <w:lang w:val="en-GB"/>
              </w:rPr>
            </w:pPr>
          </w:p>
        </w:tc>
        <w:tc>
          <w:tcPr>
            <w:tcW w:w="4492"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Average fuel consumption of freight vehicles</w:t>
            </w:r>
          </w:p>
        </w:tc>
        <w:tc>
          <w:tcPr>
            <w:tcW w:w="1276"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L fuel per 100km travelled</w:t>
            </w:r>
          </w:p>
        </w:tc>
        <w:tc>
          <w:tcPr>
            <w:tcW w:w="7051"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Data should be measured through surveys using methodology adopted by the Global Fuel Economy Initiative (GFEI) project. Data can also be collected for different types of freight vehicles classified by tare.</w:t>
            </w:r>
          </w:p>
        </w:tc>
      </w:tr>
      <w:tr w:rsidR="00E30C6F" w:rsidRPr="00E30C6F" w:rsidTr="005F469B">
        <w:tc>
          <w:tcPr>
            <w:tcW w:w="1173" w:type="dxa"/>
            <w:vMerge/>
          </w:tcPr>
          <w:p w:rsidR="00E30C6F" w:rsidRPr="00E30C6F" w:rsidRDefault="00E30C6F" w:rsidP="00E30C6F">
            <w:pPr>
              <w:rPr>
                <w:rFonts w:ascii="Arial" w:eastAsia="Times New Roman" w:hAnsi="Arial" w:cs="Arial"/>
                <w:bCs/>
                <w:sz w:val="20"/>
                <w:szCs w:val="20"/>
                <w:lang w:val="en-GB"/>
              </w:rPr>
            </w:pPr>
          </w:p>
        </w:tc>
        <w:tc>
          <w:tcPr>
            <w:tcW w:w="4492"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Number of registered freight vehicles by fuel type and size of vehicles (e.g. tare or maximum load)</w:t>
            </w:r>
          </w:p>
        </w:tc>
        <w:tc>
          <w:tcPr>
            <w:tcW w:w="1276"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Number of freight vehicles</w:t>
            </w:r>
          </w:p>
        </w:tc>
        <w:tc>
          <w:tcPr>
            <w:tcW w:w="7051"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Although these data are not used in the model, they can nevertheless be used to carry out cross verification of the model output.</w:t>
            </w:r>
          </w:p>
        </w:tc>
      </w:tr>
      <w:tr w:rsidR="00E30C6F" w:rsidRPr="00E30C6F" w:rsidTr="005F469B">
        <w:tc>
          <w:tcPr>
            <w:tcW w:w="1173" w:type="dxa"/>
            <w:vMerge/>
          </w:tcPr>
          <w:p w:rsidR="00E30C6F" w:rsidRPr="00E30C6F" w:rsidRDefault="00E30C6F" w:rsidP="00E30C6F">
            <w:pPr>
              <w:rPr>
                <w:rFonts w:ascii="Arial" w:eastAsia="Times New Roman" w:hAnsi="Arial" w:cs="Arial"/>
                <w:bCs/>
                <w:sz w:val="20"/>
                <w:szCs w:val="20"/>
                <w:lang w:val="en-GB"/>
              </w:rPr>
            </w:pPr>
          </w:p>
        </w:tc>
        <w:tc>
          <w:tcPr>
            <w:tcW w:w="4492"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Net calorific value (NCV) of each type of fuel used in vehicles</w:t>
            </w:r>
          </w:p>
        </w:tc>
        <w:tc>
          <w:tcPr>
            <w:tcW w:w="1276"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GJ/tonne fuel</w:t>
            </w:r>
          </w:p>
        </w:tc>
        <w:tc>
          <w:tcPr>
            <w:tcW w:w="7051"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Uses IPCC default values or can use laboratory data from national authorities (preferred).</w:t>
            </w:r>
          </w:p>
        </w:tc>
      </w:tr>
      <w:tr w:rsidR="00E30C6F" w:rsidRPr="00E30C6F" w:rsidTr="005F469B">
        <w:tc>
          <w:tcPr>
            <w:tcW w:w="1173" w:type="dxa"/>
            <w:vMerge/>
          </w:tcPr>
          <w:p w:rsidR="00E30C6F" w:rsidRPr="00E30C6F" w:rsidRDefault="00E30C6F" w:rsidP="00E30C6F">
            <w:pPr>
              <w:rPr>
                <w:rFonts w:ascii="Arial" w:eastAsia="Times New Roman" w:hAnsi="Arial" w:cs="Arial"/>
                <w:bCs/>
                <w:sz w:val="20"/>
                <w:szCs w:val="20"/>
                <w:lang w:val="en-GB"/>
              </w:rPr>
            </w:pPr>
          </w:p>
        </w:tc>
        <w:tc>
          <w:tcPr>
            <w:tcW w:w="4492"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Emission factor of each type of fuel used in passenger vehicles</w:t>
            </w:r>
          </w:p>
        </w:tc>
        <w:tc>
          <w:tcPr>
            <w:tcW w:w="1276"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tCO</w:t>
            </w:r>
            <w:r w:rsidRPr="00E30C6F">
              <w:rPr>
                <w:rFonts w:ascii="Arial" w:eastAsia="Times New Roman" w:hAnsi="Arial" w:cs="Arial"/>
                <w:bCs/>
                <w:sz w:val="20"/>
                <w:szCs w:val="20"/>
                <w:vertAlign w:val="subscript"/>
                <w:lang w:val="en-GB"/>
              </w:rPr>
              <w:t>2</w:t>
            </w:r>
            <w:r w:rsidRPr="00E30C6F">
              <w:rPr>
                <w:rFonts w:ascii="Arial" w:eastAsia="Times New Roman" w:hAnsi="Arial" w:cs="Arial"/>
                <w:bCs/>
                <w:sz w:val="20"/>
                <w:szCs w:val="20"/>
                <w:lang w:val="en-GB"/>
              </w:rPr>
              <w:t>/GJ</w:t>
            </w:r>
          </w:p>
        </w:tc>
        <w:tc>
          <w:tcPr>
            <w:tcW w:w="7051"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Uses IPCC default values or can use Tier 2 factors when available.</w:t>
            </w:r>
          </w:p>
        </w:tc>
      </w:tr>
      <w:tr w:rsidR="00E30C6F" w:rsidRPr="00E30C6F" w:rsidTr="005F469B">
        <w:tc>
          <w:tcPr>
            <w:tcW w:w="1173"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Aggregate fuel statistics</w:t>
            </w:r>
          </w:p>
        </w:tc>
        <w:tc>
          <w:tcPr>
            <w:tcW w:w="4492"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Quantity of total annual fuel consumed in land transport by fuel type</w:t>
            </w:r>
          </w:p>
        </w:tc>
        <w:tc>
          <w:tcPr>
            <w:tcW w:w="1276"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t per year</w:t>
            </w:r>
          </w:p>
        </w:tc>
        <w:tc>
          <w:tcPr>
            <w:tcW w:w="7051"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This data are already available at Statistics Mauritius. It is used in the model for carrying out the energy balance and for tracking overall national GHG emissions.</w:t>
            </w:r>
          </w:p>
        </w:tc>
      </w:tr>
    </w:tbl>
    <w:p w:rsidR="00E30C6F" w:rsidRDefault="00E30C6F">
      <w:pPr>
        <w:rPr>
          <w:lang w:val="en-US"/>
        </w:rPr>
      </w:pPr>
    </w:p>
    <w:p w:rsidR="00E30C6F" w:rsidRDefault="00E30C6F">
      <w:pPr>
        <w:rPr>
          <w:lang w:val="en-US"/>
        </w:rPr>
      </w:pPr>
      <w:r>
        <w:rPr>
          <w:lang w:val="en-US"/>
        </w:rPr>
        <w:t>SOLID WASTE</w:t>
      </w:r>
    </w:p>
    <w:tbl>
      <w:tblPr>
        <w:tblStyle w:val="TableGrid"/>
        <w:tblW w:w="0" w:type="auto"/>
        <w:tblLook w:val="04A0" w:firstRow="1" w:lastRow="0" w:firstColumn="1" w:lastColumn="0" w:noHBand="0" w:noVBand="1"/>
      </w:tblPr>
      <w:tblGrid>
        <w:gridCol w:w="4531"/>
        <w:gridCol w:w="1843"/>
        <w:gridCol w:w="7618"/>
      </w:tblGrid>
      <w:tr w:rsidR="00E30C6F" w:rsidRPr="00E30C6F" w:rsidTr="005F469B">
        <w:trPr>
          <w:tblHeader/>
        </w:trPr>
        <w:tc>
          <w:tcPr>
            <w:tcW w:w="4531"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Parameter</w:t>
            </w:r>
          </w:p>
        </w:tc>
        <w:tc>
          <w:tcPr>
            <w:tcW w:w="1843"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Units</w:t>
            </w:r>
          </w:p>
        </w:tc>
        <w:tc>
          <w:tcPr>
            <w:tcW w:w="7618"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Remarks</w:t>
            </w:r>
          </w:p>
        </w:tc>
      </w:tr>
      <w:tr w:rsidR="00E30C6F" w:rsidRPr="00E30C6F" w:rsidTr="005F469B">
        <w:tc>
          <w:tcPr>
            <w:tcW w:w="4531"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Population (annual)</w:t>
            </w:r>
          </w:p>
        </w:tc>
        <w:tc>
          <w:tcPr>
            <w:tcW w:w="1843"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Number of persons</w:t>
            </w:r>
          </w:p>
        </w:tc>
        <w:tc>
          <w:tcPr>
            <w:tcW w:w="7618"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 xml:space="preserve"> Population given by Mauritius Statistical Department</w:t>
            </w:r>
          </w:p>
        </w:tc>
      </w:tr>
      <w:tr w:rsidR="00E30C6F" w:rsidRPr="00E30C6F" w:rsidTr="005F469B">
        <w:tc>
          <w:tcPr>
            <w:tcW w:w="4531"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Per capita waste generated</w:t>
            </w:r>
          </w:p>
        </w:tc>
        <w:tc>
          <w:tcPr>
            <w:tcW w:w="1843"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Kg/person/year</w:t>
            </w:r>
          </w:p>
        </w:tc>
        <w:tc>
          <w:tcPr>
            <w:tcW w:w="7618"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 xml:space="preserve">This value is calculated by dividing the total quantity of MSW generated (tonne) in a year by the population in that year. The Solid Waste Management Division, </w:t>
            </w:r>
            <w:proofErr w:type="spellStart"/>
            <w:r w:rsidRPr="00E30C6F">
              <w:rPr>
                <w:rFonts w:ascii="Arial" w:eastAsia="Times New Roman" w:hAnsi="Arial" w:cs="Arial"/>
                <w:bCs/>
                <w:sz w:val="20"/>
                <w:szCs w:val="20"/>
                <w:lang w:val="en-GB"/>
              </w:rPr>
              <w:t>MoESWMCC</w:t>
            </w:r>
            <w:proofErr w:type="spellEnd"/>
            <w:r w:rsidRPr="00E30C6F">
              <w:rPr>
                <w:rFonts w:ascii="Arial" w:eastAsia="Times New Roman" w:hAnsi="Arial" w:cs="Arial"/>
                <w:bCs/>
                <w:sz w:val="20"/>
                <w:szCs w:val="20"/>
                <w:lang w:val="en-GB"/>
              </w:rPr>
              <w:t>, compiles the quantity of total waste generated/collected.</w:t>
            </w:r>
          </w:p>
        </w:tc>
      </w:tr>
      <w:tr w:rsidR="00E30C6F" w:rsidRPr="00E30C6F" w:rsidTr="005F469B">
        <w:tc>
          <w:tcPr>
            <w:tcW w:w="4531"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lastRenderedPageBreak/>
              <w:t>Composition of waste</w:t>
            </w:r>
          </w:p>
        </w:tc>
        <w:tc>
          <w:tcPr>
            <w:tcW w:w="1843"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w:t>
            </w:r>
          </w:p>
        </w:tc>
        <w:tc>
          <w:tcPr>
            <w:tcW w:w="7618"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 xml:space="preserve">The total waste is disaggregated into its various components such as food, garden, paper, wood, inert, etc. The data is taken from the Republic of Mauritius records, </w:t>
            </w:r>
            <w:proofErr w:type="spellStart"/>
            <w:r w:rsidRPr="00E30C6F">
              <w:rPr>
                <w:rFonts w:ascii="Arial" w:eastAsia="Calibri" w:hAnsi="Arial" w:cs="Arial"/>
                <w:b/>
                <w:i/>
                <w:sz w:val="20"/>
                <w:szCs w:val="20"/>
              </w:rPr>
              <w:t>Fitchner</w:t>
            </w:r>
            <w:proofErr w:type="spellEnd"/>
            <w:r w:rsidRPr="00E30C6F">
              <w:rPr>
                <w:rFonts w:ascii="Arial" w:eastAsia="Calibri" w:hAnsi="Arial" w:cs="Arial"/>
                <w:b/>
                <w:i/>
                <w:sz w:val="20"/>
                <w:szCs w:val="20"/>
              </w:rPr>
              <w:t xml:space="preserve"> for Year 2000-2008; Gamma for Year 2009-2013 and University of Mauritius for Year 2014</w:t>
            </w:r>
          </w:p>
        </w:tc>
      </w:tr>
      <w:tr w:rsidR="00E30C6F" w:rsidRPr="00E30C6F" w:rsidTr="005F469B">
        <w:tc>
          <w:tcPr>
            <w:tcW w:w="4531"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Quantity of MSW generated</w:t>
            </w:r>
          </w:p>
        </w:tc>
        <w:tc>
          <w:tcPr>
            <w:tcW w:w="1843"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Kg (or equivalent)</w:t>
            </w:r>
          </w:p>
        </w:tc>
        <w:tc>
          <w:tcPr>
            <w:tcW w:w="7618"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Mauritius Statistical Department Republic of Mauritius (ROM)</w:t>
            </w:r>
          </w:p>
        </w:tc>
      </w:tr>
      <w:tr w:rsidR="00E30C6F" w:rsidRPr="00E30C6F" w:rsidTr="005F469B">
        <w:tc>
          <w:tcPr>
            <w:tcW w:w="4531" w:type="dxa"/>
            <w:vAlign w:val="center"/>
          </w:tcPr>
          <w:p w:rsidR="00E30C6F" w:rsidRPr="00E30C6F" w:rsidRDefault="00E30C6F" w:rsidP="00E30C6F">
            <w:pPr>
              <w:jc w:val="both"/>
              <w:rPr>
                <w:rFonts w:ascii="Arial" w:eastAsia="Times New Roman" w:hAnsi="Arial" w:cs="Arial"/>
                <w:bCs/>
                <w:sz w:val="20"/>
                <w:szCs w:val="20"/>
                <w:lang w:val="en-GB"/>
              </w:rPr>
            </w:pPr>
          </w:p>
          <w:p w:rsidR="00E30C6F" w:rsidRPr="00E30C6F" w:rsidRDefault="00E30C6F" w:rsidP="00E30C6F">
            <w:pPr>
              <w:jc w:val="both"/>
              <w:rPr>
                <w:rFonts w:ascii="Arial" w:eastAsia="Times New Roman" w:hAnsi="Arial" w:cs="Arial"/>
                <w:bCs/>
                <w:sz w:val="20"/>
                <w:szCs w:val="20"/>
                <w:lang w:val="en-GB"/>
              </w:rPr>
            </w:pPr>
          </w:p>
          <w:p w:rsidR="00E30C6F" w:rsidRPr="00E30C6F" w:rsidDel="00135A35" w:rsidRDefault="00E30C6F" w:rsidP="00E30C6F">
            <w:pPr>
              <w:jc w:val="both"/>
              <w:rPr>
                <w:rFonts w:ascii="Arial" w:eastAsia="Times New Roman" w:hAnsi="Arial" w:cs="Arial"/>
                <w:bCs/>
                <w:sz w:val="20"/>
                <w:szCs w:val="20"/>
                <w:lang w:val="en-GB"/>
              </w:rPr>
            </w:pPr>
          </w:p>
        </w:tc>
        <w:tc>
          <w:tcPr>
            <w:tcW w:w="1843" w:type="dxa"/>
            <w:vAlign w:val="center"/>
          </w:tcPr>
          <w:p w:rsidR="00E30C6F" w:rsidRPr="00E30C6F" w:rsidRDefault="00E30C6F" w:rsidP="00E30C6F">
            <w:pPr>
              <w:jc w:val="center"/>
              <w:rPr>
                <w:rFonts w:ascii="Arial" w:eastAsia="Times New Roman" w:hAnsi="Arial" w:cs="Arial"/>
                <w:bCs/>
                <w:sz w:val="20"/>
                <w:szCs w:val="20"/>
                <w:lang w:val="en-GB"/>
              </w:rPr>
            </w:pPr>
          </w:p>
        </w:tc>
        <w:tc>
          <w:tcPr>
            <w:tcW w:w="7618" w:type="dxa"/>
            <w:vAlign w:val="center"/>
          </w:tcPr>
          <w:p w:rsidR="00E30C6F" w:rsidRPr="00E30C6F" w:rsidDel="00135A35" w:rsidRDefault="00E30C6F" w:rsidP="00E30C6F">
            <w:pPr>
              <w:jc w:val="both"/>
              <w:rPr>
                <w:rFonts w:ascii="Arial" w:eastAsia="Times New Roman" w:hAnsi="Arial" w:cs="Arial"/>
                <w:bCs/>
                <w:sz w:val="20"/>
                <w:szCs w:val="20"/>
                <w:lang w:val="en-GB"/>
              </w:rPr>
            </w:pPr>
          </w:p>
        </w:tc>
      </w:tr>
      <w:tr w:rsidR="00E30C6F" w:rsidRPr="00E30C6F" w:rsidTr="005F469B">
        <w:tc>
          <w:tcPr>
            <w:tcW w:w="4531"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Quantity of industrial waste</w:t>
            </w:r>
          </w:p>
        </w:tc>
        <w:tc>
          <w:tcPr>
            <w:tcW w:w="1843"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Kg (or equivalent)</w:t>
            </w:r>
          </w:p>
        </w:tc>
        <w:tc>
          <w:tcPr>
            <w:tcW w:w="7618"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Statistics of Mauritius</w:t>
            </w:r>
          </w:p>
        </w:tc>
      </w:tr>
      <w:tr w:rsidR="00E30C6F" w:rsidRPr="00E30C6F" w:rsidTr="005F469B">
        <w:tc>
          <w:tcPr>
            <w:tcW w:w="4531"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Quantity of waste diverted from landfill for alternative uses (e.g. recycling, composting and waste-to-energy)</w:t>
            </w:r>
          </w:p>
        </w:tc>
        <w:tc>
          <w:tcPr>
            <w:tcW w:w="1843"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Kg (or equivalent)</w:t>
            </w:r>
          </w:p>
        </w:tc>
        <w:tc>
          <w:tcPr>
            <w:tcW w:w="7618"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 xml:space="preserve">These quantities are recorded and are available at the Solid Waste Management Division, </w:t>
            </w:r>
            <w:proofErr w:type="spellStart"/>
            <w:r w:rsidRPr="00E30C6F">
              <w:rPr>
                <w:rFonts w:ascii="Arial" w:eastAsia="Times New Roman" w:hAnsi="Arial" w:cs="Arial"/>
                <w:bCs/>
                <w:sz w:val="20"/>
                <w:szCs w:val="20"/>
                <w:lang w:val="en-GB"/>
              </w:rPr>
              <w:t>MoESWMCC</w:t>
            </w:r>
            <w:proofErr w:type="spellEnd"/>
            <w:r w:rsidRPr="00E30C6F">
              <w:rPr>
                <w:rFonts w:ascii="Arial" w:eastAsia="Times New Roman" w:hAnsi="Arial" w:cs="Arial"/>
                <w:bCs/>
                <w:sz w:val="20"/>
                <w:szCs w:val="20"/>
                <w:lang w:val="en-GB"/>
              </w:rPr>
              <w:t>.</w:t>
            </w:r>
          </w:p>
        </w:tc>
      </w:tr>
      <w:tr w:rsidR="00E30C6F" w:rsidRPr="00E30C6F" w:rsidTr="005F469B">
        <w:tc>
          <w:tcPr>
            <w:tcW w:w="4531"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LFG capture (either for flaring or electricity generation)</w:t>
            </w:r>
          </w:p>
        </w:tc>
        <w:tc>
          <w:tcPr>
            <w:tcW w:w="1843"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Kg CH</w:t>
            </w:r>
            <w:r w:rsidRPr="00E30C6F">
              <w:rPr>
                <w:rFonts w:ascii="Arial" w:eastAsia="Times New Roman" w:hAnsi="Arial" w:cs="Arial"/>
                <w:bCs/>
                <w:sz w:val="20"/>
                <w:szCs w:val="20"/>
                <w:vertAlign w:val="subscript"/>
                <w:lang w:val="en-GB"/>
              </w:rPr>
              <w:t>4</w:t>
            </w:r>
            <w:r w:rsidRPr="00E30C6F">
              <w:rPr>
                <w:rFonts w:ascii="Arial" w:eastAsia="Times New Roman" w:hAnsi="Arial" w:cs="Arial"/>
                <w:bCs/>
                <w:sz w:val="20"/>
                <w:szCs w:val="20"/>
                <w:lang w:val="en-GB"/>
              </w:rPr>
              <w:t xml:space="preserve"> (or equivalent units)</w:t>
            </w:r>
          </w:p>
        </w:tc>
        <w:tc>
          <w:tcPr>
            <w:tcW w:w="7618"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 xml:space="preserve">Data are recorded and available at the Solid Waste Division, </w:t>
            </w:r>
            <w:proofErr w:type="spellStart"/>
            <w:r w:rsidRPr="00E30C6F">
              <w:rPr>
                <w:rFonts w:ascii="Arial" w:eastAsia="Times New Roman" w:hAnsi="Arial" w:cs="Arial"/>
                <w:bCs/>
                <w:sz w:val="20"/>
                <w:szCs w:val="20"/>
                <w:lang w:val="en-GB"/>
              </w:rPr>
              <w:t>MoESWMCC</w:t>
            </w:r>
            <w:proofErr w:type="spellEnd"/>
          </w:p>
        </w:tc>
      </w:tr>
      <w:tr w:rsidR="00E30C6F" w:rsidRPr="00E30C6F" w:rsidTr="005F469B">
        <w:tc>
          <w:tcPr>
            <w:tcW w:w="4531"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Degradable Organic Carbon (DOC) in various types of solid waste</w:t>
            </w:r>
          </w:p>
        </w:tc>
        <w:tc>
          <w:tcPr>
            <w:tcW w:w="1843"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Dimensionless</w:t>
            </w:r>
          </w:p>
        </w:tc>
        <w:tc>
          <w:tcPr>
            <w:tcW w:w="7618"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Uses IPCC default values.</w:t>
            </w:r>
          </w:p>
        </w:tc>
      </w:tr>
      <w:tr w:rsidR="00E30C6F" w:rsidRPr="00E30C6F" w:rsidTr="005F469B">
        <w:tc>
          <w:tcPr>
            <w:tcW w:w="4531"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Fraction of DOC (</w:t>
            </w:r>
            <w:proofErr w:type="spellStart"/>
            <w:r w:rsidRPr="00E30C6F">
              <w:rPr>
                <w:rFonts w:ascii="Arial" w:eastAsia="Times New Roman" w:hAnsi="Arial" w:cs="Arial"/>
                <w:bCs/>
                <w:sz w:val="20"/>
                <w:szCs w:val="20"/>
                <w:lang w:val="en-GB"/>
              </w:rPr>
              <w:t>DOCf</w:t>
            </w:r>
            <w:proofErr w:type="spellEnd"/>
            <w:r w:rsidRPr="00E30C6F">
              <w:rPr>
                <w:rFonts w:ascii="Arial" w:eastAsia="Times New Roman" w:hAnsi="Arial" w:cs="Arial"/>
                <w:bCs/>
                <w:sz w:val="20"/>
                <w:szCs w:val="20"/>
                <w:lang w:val="en-GB"/>
              </w:rPr>
              <w:t xml:space="preserve">) </w:t>
            </w:r>
          </w:p>
        </w:tc>
        <w:tc>
          <w:tcPr>
            <w:tcW w:w="1843"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Dimensionless</w:t>
            </w:r>
          </w:p>
        </w:tc>
        <w:tc>
          <w:tcPr>
            <w:tcW w:w="7618"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Uses IPCC default values.</w:t>
            </w:r>
          </w:p>
        </w:tc>
      </w:tr>
      <w:tr w:rsidR="00E30C6F" w:rsidRPr="00E30C6F" w:rsidTr="005F469B">
        <w:tc>
          <w:tcPr>
            <w:tcW w:w="4531"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Emission factor</w:t>
            </w:r>
          </w:p>
        </w:tc>
        <w:tc>
          <w:tcPr>
            <w:tcW w:w="1843"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Dimensionless</w:t>
            </w:r>
          </w:p>
        </w:tc>
        <w:tc>
          <w:tcPr>
            <w:tcW w:w="7618"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Uses IPCC default values</w:t>
            </w:r>
          </w:p>
        </w:tc>
      </w:tr>
    </w:tbl>
    <w:p w:rsidR="00E30C6F" w:rsidRDefault="00E30C6F">
      <w:pPr>
        <w:rPr>
          <w:lang w:val="en-US"/>
        </w:rPr>
      </w:pPr>
    </w:p>
    <w:p w:rsidR="00E30C6F" w:rsidRDefault="00E30C6F">
      <w:pPr>
        <w:rPr>
          <w:lang w:val="en-US"/>
        </w:rPr>
      </w:pPr>
      <w:r>
        <w:rPr>
          <w:lang w:val="en-US"/>
        </w:rPr>
        <w:t>LULUCF</w:t>
      </w:r>
      <w:bookmarkStart w:id="0" w:name="_GoBack"/>
      <w:bookmarkEnd w:id="0"/>
    </w:p>
    <w:tbl>
      <w:tblPr>
        <w:tblStyle w:val="TableGrid"/>
        <w:tblW w:w="0" w:type="auto"/>
        <w:tblLook w:val="04A0" w:firstRow="1" w:lastRow="0" w:firstColumn="1" w:lastColumn="0" w:noHBand="0" w:noVBand="1"/>
      </w:tblPr>
      <w:tblGrid>
        <w:gridCol w:w="1526"/>
        <w:gridCol w:w="3433"/>
        <w:gridCol w:w="1517"/>
        <w:gridCol w:w="7698"/>
      </w:tblGrid>
      <w:tr w:rsidR="00E30C6F" w:rsidRPr="00E30C6F" w:rsidTr="005F469B">
        <w:trPr>
          <w:tblHeader/>
        </w:trPr>
        <w:tc>
          <w:tcPr>
            <w:tcW w:w="1526" w:type="dxa"/>
          </w:tcPr>
          <w:p w:rsidR="00E30C6F" w:rsidRPr="00E30C6F" w:rsidRDefault="00E30C6F" w:rsidP="00E30C6F">
            <w:pPr>
              <w:rPr>
                <w:rFonts w:ascii="Arial" w:eastAsia="Times New Roman" w:hAnsi="Arial" w:cs="Arial"/>
                <w:bCs/>
                <w:sz w:val="20"/>
                <w:szCs w:val="20"/>
                <w:lang w:val="en-GB"/>
              </w:rPr>
            </w:pPr>
          </w:p>
        </w:tc>
        <w:tc>
          <w:tcPr>
            <w:tcW w:w="3445"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Parameter</w:t>
            </w:r>
          </w:p>
        </w:tc>
        <w:tc>
          <w:tcPr>
            <w:tcW w:w="1517"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Units</w:t>
            </w:r>
          </w:p>
        </w:tc>
        <w:tc>
          <w:tcPr>
            <w:tcW w:w="7730"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Remarks</w:t>
            </w:r>
          </w:p>
        </w:tc>
      </w:tr>
      <w:tr w:rsidR="00E30C6F" w:rsidRPr="00E30C6F" w:rsidTr="005F469B">
        <w:tc>
          <w:tcPr>
            <w:tcW w:w="1526" w:type="dxa"/>
            <w:vMerge w:val="restart"/>
            <w:vAlign w:val="center"/>
          </w:tcPr>
          <w:p w:rsidR="00E30C6F" w:rsidRPr="00E30C6F" w:rsidRDefault="00E30C6F" w:rsidP="00E30C6F">
            <w:pPr>
              <w:jc w:val="center"/>
              <w:rPr>
                <w:rFonts w:ascii="Arial" w:eastAsia="Times New Roman" w:hAnsi="Arial" w:cs="Arial"/>
                <w:b/>
                <w:sz w:val="20"/>
                <w:szCs w:val="20"/>
                <w:lang w:val="en-GB"/>
              </w:rPr>
            </w:pPr>
            <w:r w:rsidRPr="00E30C6F">
              <w:rPr>
                <w:rFonts w:ascii="Arial" w:eastAsia="Times New Roman" w:hAnsi="Arial" w:cs="Arial"/>
                <w:b/>
                <w:sz w:val="20"/>
                <w:szCs w:val="20"/>
                <w:lang w:val="en-GB"/>
              </w:rPr>
              <w:t>carbon stocks and change in</w:t>
            </w:r>
          </w:p>
          <w:p w:rsidR="00E30C6F" w:rsidRPr="00E30C6F" w:rsidRDefault="00E30C6F" w:rsidP="00E30C6F">
            <w:pPr>
              <w:jc w:val="center"/>
              <w:rPr>
                <w:rFonts w:ascii="Arial" w:eastAsia="Times New Roman" w:hAnsi="Arial" w:cs="Arial"/>
                <w:bCs/>
                <w:sz w:val="20"/>
                <w:szCs w:val="20"/>
                <w:highlight w:val="yellow"/>
                <w:lang w:val="en-GB"/>
              </w:rPr>
            </w:pPr>
            <w:r w:rsidRPr="00E30C6F">
              <w:rPr>
                <w:rFonts w:ascii="Arial" w:eastAsia="Times New Roman" w:hAnsi="Arial" w:cs="Arial"/>
                <w:b/>
                <w:sz w:val="20"/>
                <w:szCs w:val="20"/>
                <w:lang w:val="en-GB"/>
              </w:rPr>
              <w:t>carbon stocks</w:t>
            </w:r>
          </w:p>
        </w:tc>
        <w:tc>
          <w:tcPr>
            <w:tcW w:w="3445" w:type="dxa"/>
            <w:vAlign w:val="center"/>
          </w:tcPr>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Calibri" w:hAnsi="Arial" w:cs="Arial"/>
                <w:sz w:val="20"/>
                <w:szCs w:val="20"/>
                <w:lang w:val="en-IN"/>
              </w:rPr>
              <w:t>Carbon fraction of tree biomass (</w:t>
            </w:r>
            <w:proofErr w:type="spellStart"/>
            <w:r w:rsidRPr="00E30C6F">
              <w:rPr>
                <w:rFonts w:ascii="Arial" w:eastAsia="Calibri" w:hAnsi="Arial" w:cs="Arial"/>
                <w:sz w:val="20"/>
                <w:szCs w:val="20"/>
                <w:lang w:val="en-IN"/>
              </w:rPr>
              <w:t>CFtree</w:t>
            </w:r>
            <w:proofErr w:type="spellEnd"/>
            <w:r w:rsidRPr="00E30C6F">
              <w:rPr>
                <w:rFonts w:ascii="Arial" w:eastAsia="Calibri" w:hAnsi="Arial" w:cs="Arial"/>
                <w:sz w:val="20"/>
                <w:szCs w:val="20"/>
                <w:lang w:val="en-IN"/>
              </w:rPr>
              <w:t>)</w:t>
            </w:r>
          </w:p>
        </w:tc>
        <w:tc>
          <w:tcPr>
            <w:tcW w:w="1517" w:type="dxa"/>
            <w:vAlign w:val="center"/>
          </w:tcPr>
          <w:p w:rsidR="00E30C6F" w:rsidRPr="00E30C6F" w:rsidRDefault="00E30C6F" w:rsidP="00E30C6F">
            <w:pPr>
              <w:jc w:val="center"/>
              <w:rPr>
                <w:rFonts w:ascii="Arial" w:eastAsia="Times New Roman" w:hAnsi="Arial" w:cs="Arial"/>
                <w:bCs/>
                <w:sz w:val="20"/>
                <w:szCs w:val="20"/>
                <w:highlight w:val="yellow"/>
                <w:lang w:val="en-GB"/>
              </w:rPr>
            </w:pPr>
            <w:r w:rsidRPr="00E30C6F">
              <w:rPr>
                <w:rFonts w:ascii="Arial" w:eastAsia="Calibri" w:hAnsi="Arial" w:cs="Arial"/>
                <w:sz w:val="20"/>
                <w:szCs w:val="20"/>
                <w:lang w:val="en-IN"/>
              </w:rPr>
              <w:t>t C t</w:t>
            </w:r>
            <w:r w:rsidRPr="00E30C6F">
              <w:rPr>
                <w:rFonts w:ascii="Arial" w:eastAsia="Calibri" w:hAnsi="Arial" w:cs="Arial"/>
                <w:sz w:val="20"/>
                <w:szCs w:val="20"/>
                <w:vertAlign w:val="superscript"/>
                <w:lang w:val="en-IN"/>
              </w:rPr>
              <w:t>-1</w:t>
            </w:r>
            <w:r w:rsidRPr="00E30C6F">
              <w:rPr>
                <w:rFonts w:ascii="Arial" w:eastAsia="Calibri" w:hAnsi="Arial" w:cs="Arial"/>
                <w:sz w:val="20"/>
                <w:szCs w:val="20"/>
                <w:lang w:val="en-IN"/>
              </w:rPr>
              <w:t>d.m.</w:t>
            </w:r>
          </w:p>
        </w:tc>
        <w:tc>
          <w:tcPr>
            <w:tcW w:w="7730"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A value of 0.5 shall be used unless transparent and verifiable</w:t>
            </w:r>
          </w:p>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information can be provided to justify a different value</w:t>
            </w:r>
          </w:p>
        </w:tc>
      </w:tr>
      <w:tr w:rsidR="00E30C6F" w:rsidRPr="00E30C6F" w:rsidTr="005F469B">
        <w:tc>
          <w:tcPr>
            <w:tcW w:w="1526" w:type="dxa"/>
            <w:vMerge/>
          </w:tcPr>
          <w:p w:rsidR="00E30C6F" w:rsidRPr="00E30C6F" w:rsidRDefault="00E30C6F" w:rsidP="00E30C6F">
            <w:pPr>
              <w:rPr>
                <w:rFonts w:ascii="Arial" w:eastAsia="Times New Roman" w:hAnsi="Arial" w:cs="Arial"/>
                <w:bCs/>
                <w:sz w:val="20"/>
                <w:szCs w:val="20"/>
                <w:highlight w:val="yellow"/>
                <w:lang w:val="en-GB"/>
              </w:rPr>
            </w:pPr>
          </w:p>
        </w:tc>
        <w:tc>
          <w:tcPr>
            <w:tcW w:w="3445" w:type="dxa"/>
            <w:vAlign w:val="center"/>
          </w:tcPr>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Calibri" w:hAnsi="Arial" w:cs="Arial"/>
                <w:sz w:val="20"/>
                <w:szCs w:val="20"/>
                <w:lang w:val="en-IN"/>
              </w:rPr>
              <w:t>Carbon fraction of litter biomass (CFLI)</w:t>
            </w:r>
          </w:p>
        </w:tc>
        <w:tc>
          <w:tcPr>
            <w:tcW w:w="1517" w:type="dxa"/>
            <w:vAlign w:val="center"/>
          </w:tcPr>
          <w:p w:rsidR="00E30C6F" w:rsidRPr="00E30C6F" w:rsidRDefault="00E30C6F" w:rsidP="00E30C6F">
            <w:pPr>
              <w:jc w:val="center"/>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t C t</w:t>
            </w:r>
            <w:r w:rsidRPr="00E30C6F">
              <w:rPr>
                <w:rFonts w:ascii="Arial" w:eastAsia="Times New Roman" w:hAnsi="Arial" w:cs="Arial"/>
                <w:bCs/>
                <w:sz w:val="20"/>
                <w:szCs w:val="20"/>
                <w:vertAlign w:val="superscript"/>
                <w:lang w:val="en-GB"/>
              </w:rPr>
              <w:t xml:space="preserve">-1 </w:t>
            </w:r>
            <w:proofErr w:type="spellStart"/>
            <w:r w:rsidRPr="00E30C6F">
              <w:rPr>
                <w:rFonts w:ascii="Arial" w:eastAsia="Times New Roman" w:hAnsi="Arial" w:cs="Arial"/>
                <w:bCs/>
                <w:sz w:val="20"/>
                <w:szCs w:val="20"/>
                <w:lang w:val="en-GB"/>
              </w:rPr>
              <w:t>d.m</w:t>
            </w:r>
            <w:proofErr w:type="spellEnd"/>
            <w:r w:rsidRPr="00E30C6F">
              <w:rPr>
                <w:rFonts w:ascii="Arial" w:eastAsia="Times New Roman" w:hAnsi="Arial" w:cs="Arial"/>
                <w:bCs/>
                <w:sz w:val="20"/>
                <w:szCs w:val="20"/>
                <w:lang w:val="en-GB"/>
              </w:rPr>
              <w:t>.</w:t>
            </w:r>
          </w:p>
        </w:tc>
        <w:tc>
          <w:tcPr>
            <w:tcW w:w="7730" w:type="dxa"/>
            <w:vAlign w:val="center"/>
          </w:tcPr>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IPCC default value of 0.37 t C t</w:t>
            </w:r>
            <w:r w:rsidRPr="00E30C6F">
              <w:rPr>
                <w:rFonts w:ascii="Arial" w:eastAsia="Times New Roman" w:hAnsi="Arial" w:cs="Arial"/>
                <w:bCs/>
                <w:sz w:val="20"/>
                <w:szCs w:val="20"/>
                <w:vertAlign w:val="superscript"/>
                <w:lang w:val="en-GB"/>
              </w:rPr>
              <w:t>-1</w:t>
            </w:r>
            <w:r w:rsidRPr="00E30C6F">
              <w:rPr>
                <w:rFonts w:ascii="Arial" w:eastAsia="Times New Roman" w:hAnsi="Arial" w:cs="Arial"/>
                <w:bCs/>
                <w:sz w:val="20"/>
                <w:szCs w:val="20"/>
                <w:lang w:val="en-GB"/>
              </w:rPr>
              <w:t xml:space="preserve"> </w:t>
            </w:r>
            <w:proofErr w:type="spellStart"/>
            <w:r w:rsidRPr="00E30C6F">
              <w:rPr>
                <w:rFonts w:ascii="Arial" w:eastAsia="Times New Roman" w:hAnsi="Arial" w:cs="Arial"/>
                <w:bCs/>
                <w:sz w:val="20"/>
                <w:szCs w:val="20"/>
                <w:lang w:val="en-GB"/>
              </w:rPr>
              <w:t>d.m</w:t>
            </w:r>
            <w:proofErr w:type="spellEnd"/>
            <w:r w:rsidRPr="00E30C6F">
              <w:rPr>
                <w:rFonts w:ascii="Arial" w:eastAsia="Times New Roman" w:hAnsi="Arial" w:cs="Arial"/>
                <w:bCs/>
                <w:sz w:val="20"/>
                <w:szCs w:val="20"/>
                <w:lang w:val="en-GB"/>
              </w:rPr>
              <w:t>. may be used</w:t>
            </w:r>
          </w:p>
        </w:tc>
      </w:tr>
      <w:tr w:rsidR="00E30C6F" w:rsidRPr="00E30C6F" w:rsidTr="005F469B">
        <w:tc>
          <w:tcPr>
            <w:tcW w:w="1526" w:type="dxa"/>
            <w:vMerge/>
          </w:tcPr>
          <w:p w:rsidR="00E30C6F" w:rsidRPr="00E30C6F" w:rsidRDefault="00E30C6F" w:rsidP="00E30C6F">
            <w:pPr>
              <w:rPr>
                <w:rFonts w:ascii="Arial" w:eastAsia="Times New Roman" w:hAnsi="Arial" w:cs="Arial"/>
                <w:bCs/>
                <w:sz w:val="20"/>
                <w:szCs w:val="20"/>
                <w:highlight w:val="yellow"/>
                <w:lang w:val="en-GB"/>
              </w:rPr>
            </w:pPr>
          </w:p>
        </w:tc>
        <w:tc>
          <w:tcPr>
            <w:tcW w:w="3445" w:type="dxa"/>
            <w:vAlign w:val="center"/>
          </w:tcPr>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Basic wood density for species j (D</w:t>
            </w:r>
            <w:r w:rsidRPr="00E30C6F">
              <w:rPr>
                <w:rFonts w:ascii="Arial" w:eastAsia="Times New Roman" w:hAnsi="Arial" w:cs="Arial"/>
                <w:bCs/>
                <w:sz w:val="20"/>
                <w:szCs w:val="20"/>
                <w:vertAlign w:val="subscript"/>
                <w:lang w:val="en-GB"/>
              </w:rPr>
              <w:t>J</w:t>
            </w:r>
            <w:r w:rsidRPr="00E30C6F">
              <w:rPr>
                <w:rFonts w:ascii="Arial" w:eastAsia="Times New Roman" w:hAnsi="Arial" w:cs="Arial"/>
                <w:bCs/>
                <w:sz w:val="20"/>
                <w:szCs w:val="20"/>
                <w:lang w:val="en-GB"/>
              </w:rPr>
              <w:t>)</w:t>
            </w:r>
          </w:p>
        </w:tc>
        <w:tc>
          <w:tcPr>
            <w:tcW w:w="1517" w:type="dxa"/>
            <w:vAlign w:val="center"/>
          </w:tcPr>
          <w:p w:rsidR="00E30C6F" w:rsidRPr="00E30C6F" w:rsidRDefault="00E30C6F" w:rsidP="00E30C6F">
            <w:pPr>
              <w:jc w:val="center"/>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 xml:space="preserve">t </w:t>
            </w:r>
            <w:proofErr w:type="spellStart"/>
            <w:r w:rsidRPr="00E30C6F">
              <w:rPr>
                <w:rFonts w:ascii="Arial" w:eastAsia="Times New Roman" w:hAnsi="Arial" w:cs="Arial"/>
                <w:bCs/>
                <w:sz w:val="20"/>
                <w:szCs w:val="20"/>
                <w:lang w:val="en-GB"/>
              </w:rPr>
              <w:t>d.m</w:t>
            </w:r>
            <w:proofErr w:type="spellEnd"/>
            <w:r w:rsidRPr="00E30C6F">
              <w:rPr>
                <w:rFonts w:ascii="Arial" w:eastAsia="Times New Roman" w:hAnsi="Arial" w:cs="Arial"/>
                <w:bCs/>
                <w:sz w:val="20"/>
                <w:szCs w:val="20"/>
                <w:lang w:val="en-GB"/>
              </w:rPr>
              <w:t>. m</w:t>
            </w:r>
            <w:r w:rsidRPr="00E30C6F">
              <w:rPr>
                <w:rFonts w:ascii="Arial" w:eastAsia="Times New Roman" w:hAnsi="Arial" w:cs="Arial"/>
                <w:bCs/>
                <w:sz w:val="20"/>
                <w:szCs w:val="20"/>
                <w:vertAlign w:val="superscript"/>
                <w:lang w:val="en-GB"/>
              </w:rPr>
              <w:t>-3</w:t>
            </w:r>
          </w:p>
        </w:tc>
        <w:tc>
          <w:tcPr>
            <w:tcW w:w="7730"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Values from Table 3A.1.9 of IPCC GPG-LULUCF 2003 are used</w:t>
            </w:r>
          </w:p>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unless transparent and verifiable information can be provided to</w:t>
            </w:r>
          </w:p>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justify different values</w:t>
            </w:r>
          </w:p>
        </w:tc>
      </w:tr>
      <w:tr w:rsidR="00E30C6F" w:rsidRPr="00E30C6F" w:rsidTr="005F469B">
        <w:tc>
          <w:tcPr>
            <w:tcW w:w="1526" w:type="dxa"/>
            <w:vMerge/>
          </w:tcPr>
          <w:p w:rsidR="00E30C6F" w:rsidRPr="00E30C6F" w:rsidRDefault="00E30C6F" w:rsidP="00E30C6F">
            <w:pPr>
              <w:rPr>
                <w:rFonts w:ascii="Arial" w:eastAsia="Times New Roman" w:hAnsi="Arial" w:cs="Arial"/>
                <w:bCs/>
                <w:sz w:val="20"/>
                <w:szCs w:val="20"/>
                <w:highlight w:val="yellow"/>
                <w:lang w:val="en-GB"/>
              </w:rPr>
            </w:pPr>
          </w:p>
        </w:tc>
        <w:tc>
          <w:tcPr>
            <w:tcW w:w="3445"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Conservative default factor expressing carbon stock in dead wood as</w:t>
            </w:r>
          </w:p>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a percentage of carbon stock in tree biomass (DF</w:t>
            </w:r>
            <w:r w:rsidRPr="00E30C6F">
              <w:rPr>
                <w:rFonts w:ascii="Arial" w:eastAsia="Times New Roman" w:hAnsi="Arial" w:cs="Arial"/>
                <w:bCs/>
                <w:sz w:val="20"/>
                <w:szCs w:val="20"/>
                <w:vertAlign w:val="subscript"/>
                <w:lang w:val="en-GB"/>
              </w:rPr>
              <w:t>DW</w:t>
            </w:r>
            <w:r w:rsidRPr="00E30C6F">
              <w:rPr>
                <w:rFonts w:ascii="Arial" w:eastAsia="Times New Roman" w:hAnsi="Arial" w:cs="Arial"/>
                <w:bCs/>
                <w:sz w:val="20"/>
                <w:szCs w:val="20"/>
                <w:lang w:val="en-GB"/>
              </w:rPr>
              <w:t xml:space="preserve">) </w:t>
            </w:r>
          </w:p>
        </w:tc>
        <w:tc>
          <w:tcPr>
            <w:tcW w:w="1517" w:type="dxa"/>
            <w:vAlign w:val="center"/>
          </w:tcPr>
          <w:p w:rsidR="00E30C6F" w:rsidRPr="00E30C6F" w:rsidRDefault="00E30C6F" w:rsidP="00E30C6F">
            <w:pPr>
              <w:jc w:val="center"/>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Per cent (%)</w:t>
            </w:r>
          </w:p>
        </w:tc>
        <w:tc>
          <w:tcPr>
            <w:tcW w:w="7730"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Defaults conservatively derived from Delaney et al. 1997, Smith et</w:t>
            </w:r>
          </w:p>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 xml:space="preserve">al. 2006, </w:t>
            </w:r>
            <w:proofErr w:type="spellStart"/>
            <w:r w:rsidRPr="00E30C6F">
              <w:rPr>
                <w:rFonts w:ascii="Arial" w:eastAsia="Times New Roman" w:hAnsi="Arial" w:cs="Arial"/>
                <w:bCs/>
                <w:sz w:val="20"/>
                <w:szCs w:val="20"/>
                <w:lang w:val="en-GB"/>
              </w:rPr>
              <w:t>Glenday</w:t>
            </w:r>
            <w:proofErr w:type="spellEnd"/>
            <w:r w:rsidRPr="00E30C6F">
              <w:rPr>
                <w:rFonts w:ascii="Arial" w:eastAsia="Times New Roman" w:hAnsi="Arial" w:cs="Arial"/>
                <w:bCs/>
                <w:sz w:val="20"/>
                <w:szCs w:val="20"/>
                <w:lang w:val="en-GB"/>
              </w:rPr>
              <w:t xml:space="preserve"> 2008, Keller et al. 2004, Eaton and Lawrence</w:t>
            </w:r>
          </w:p>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 xml:space="preserve">2006, </w:t>
            </w:r>
            <w:proofErr w:type="spellStart"/>
            <w:r w:rsidRPr="00E30C6F">
              <w:rPr>
                <w:rFonts w:ascii="Arial" w:eastAsia="Times New Roman" w:hAnsi="Arial" w:cs="Arial"/>
                <w:bCs/>
                <w:sz w:val="20"/>
                <w:szCs w:val="20"/>
                <w:lang w:val="en-GB"/>
              </w:rPr>
              <w:t>Krankina</w:t>
            </w:r>
            <w:proofErr w:type="spellEnd"/>
            <w:r w:rsidRPr="00E30C6F">
              <w:rPr>
                <w:rFonts w:ascii="Arial" w:eastAsia="Times New Roman" w:hAnsi="Arial" w:cs="Arial"/>
                <w:bCs/>
                <w:sz w:val="20"/>
                <w:szCs w:val="20"/>
                <w:lang w:val="en-GB"/>
              </w:rPr>
              <w:t xml:space="preserve"> and Harmon 1995, and Clark et al 2002:15</w:t>
            </w:r>
          </w:p>
        </w:tc>
      </w:tr>
      <w:tr w:rsidR="00E30C6F" w:rsidRPr="00E30C6F" w:rsidTr="005F469B">
        <w:tc>
          <w:tcPr>
            <w:tcW w:w="1526" w:type="dxa"/>
            <w:vMerge/>
          </w:tcPr>
          <w:p w:rsidR="00E30C6F" w:rsidRPr="00E30C6F" w:rsidRDefault="00E30C6F" w:rsidP="00E30C6F">
            <w:pPr>
              <w:rPr>
                <w:rFonts w:ascii="Arial" w:eastAsia="Times New Roman" w:hAnsi="Arial" w:cs="Arial"/>
                <w:bCs/>
                <w:sz w:val="20"/>
                <w:szCs w:val="20"/>
                <w:highlight w:val="yellow"/>
                <w:lang w:val="en-GB"/>
              </w:rPr>
            </w:pPr>
          </w:p>
        </w:tc>
        <w:tc>
          <w:tcPr>
            <w:tcW w:w="3445"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Default factor for the relationship between carbon stock in litter and</w:t>
            </w:r>
          </w:p>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lastRenderedPageBreak/>
              <w:t>carbon stock in living trees (DF</w:t>
            </w:r>
            <w:r w:rsidRPr="00E30C6F">
              <w:rPr>
                <w:rFonts w:ascii="Arial" w:eastAsia="Times New Roman" w:hAnsi="Arial" w:cs="Arial"/>
                <w:bCs/>
                <w:sz w:val="20"/>
                <w:szCs w:val="20"/>
                <w:vertAlign w:val="subscript"/>
                <w:lang w:val="en-GB"/>
              </w:rPr>
              <w:t>LI</w:t>
            </w:r>
            <w:r w:rsidRPr="00E30C6F">
              <w:rPr>
                <w:rFonts w:ascii="Arial" w:eastAsia="Times New Roman" w:hAnsi="Arial" w:cs="Arial"/>
                <w:bCs/>
                <w:sz w:val="20"/>
                <w:szCs w:val="20"/>
                <w:lang w:val="en-GB"/>
              </w:rPr>
              <w:t>)</w:t>
            </w:r>
          </w:p>
        </w:tc>
        <w:tc>
          <w:tcPr>
            <w:tcW w:w="1517" w:type="dxa"/>
            <w:vAlign w:val="center"/>
          </w:tcPr>
          <w:p w:rsidR="00E30C6F" w:rsidRPr="00E30C6F" w:rsidRDefault="00E30C6F" w:rsidP="00E30C6F">
            <w:pPr>
              <w:jc w:val="center"/>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lastRenderedPageBreak/>
              <w:t>Per cent (%)</w:t>
            </w:r>
          </w:p>
        </w:tc>
        <w:tc>
          <w:tcPr>
            <w:tcW w:w="7730" w:type="dxa"/>
            <w:vAlign w:val="center"/>
          </w:tcPr>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Calibri" w:hAnsi="Arial" w:cs="Arial"/>
                <w:sz w:val="20"/>
                <w:szCs w:val="20"/>
                <w:lang w:val="en-IN"/>
              </w:rPr>
              <w:t>Defaults conservatively derived from sources cited above</w:t>
            </w:r>
          </w:p>
        </w:tc>
      </w:tr>
      <w:tr w:rsidR="00E30C6F" w:rsidRPr="00E30C6F" w:rsidTr="005F469B">
        <w:tc>
          <w:tcPr>
            <w:tcW w:w="1526" w:type="dxa"/>
            <w:vMerge/>
          </w:tcPr>
          <w:p w:rsidR="00E30C6F" w:rsidRPr="00E30C6F" w:rsidRDefault="00E30C6F" w:rsidP="00E30C6F">
            <w:pPr>
              <w:rPr>
                <w:rFonts w:ascii="Arial" w:eastAsia="Times New Roman" w:hAnsi="Arial" w:cs="Arial"/>
                <w:bCs/>
                <w:sz w:val="20"/>
                <w:szCs w:val="20"/>
                <w:highlight w:val="yellow"/>
                <w:lang w:val="en-GB"/>
              </w:rPr>
            </w:pPr>
          </w:p>
        </w:tc>
        <w:tc>
          <w:tcPr>
            <w:tcW w:w="3445" w:type="dxa"/>
            <w:vAlign w:val="center"/>
          </w:tcPr>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Calibri" w:hAnsi="Arial" w:cs="Arial"/>
                <w:sz w:val="20"/>
                <w:szCs w:val="20"/>
                <w:lang w:val="en-IN"/>
              </w:rPr>
              <w:t xml:space="preserve">Root-shoot ratio for species </w:t>
            </w:r>
            <w:r w:rsidRPr="00E30C6F">
              <w:rPr>
                <w:rFonts w:ascii="Arial" w:eastAsia="Calibri" w:hAnsi="Arial" w:cs="Arial"/>
                <w:i/>
                <w:iCs/>
                <w:sz w:val="20"/>
                <w:szCs w:val="20"/>
                <w:lang w:val="en-IN"/>
              </w:rPr>
              <w:t>j (R</w:t>
            </w:r>
            <w:r w:rsidRPr="00E30C6F">
              <w:rPr>
                <w:rFonts w:ascii="Arial" w:eastAsia="Calibri" w:hAnsi="Arial" w:cs="Arial"/>
                <w:i/>
                <w:iCs/>
                <w:sz w:val="20"/>
                <w:szCs w:val="20"/>
                <w:vertAlign w:val="subscript"/>
                <w:lang w:val="en-IN"/>
              </w:rPr>
              <w:t>J</w:t>
            </w:r>
            <w:r w:rsidRPr="00E30C6F">
              <w:rPr>
                <w:rFonts w:ascii="Arial" w:eastAsia="Calibri" w:hAnsi="Arial" w:cs="Arial"/>
                <w:i/>
                <w:iCs/>
                <w:sz w:val="20"/>
                <w:szCs w:val="20"/>
                <w:lang w:val="en-IN"/>
              </w:rPr>
              <w:t>)</w:t>
            </w:r>
          </w:p>
        </w:tc>
        <w:tc>
          <w:tcPr>
            <w:tcW w:w="1517" w:type="dxa"/>
            <w:vAlign w:val="center"/>
          </w:tcPr>
          <w:p w:rsidR="00E30C6F" w:rsidRPr="00E30C6F" w:rsidRDefault="00E30C6F" w:rsidP="00E30C6F">
            <w:pPr>
              <w:jc w:val="center"/>
              <w:rPr>
                <w:rFonts w:ascii="Arial" w:eastAsia="Times New Roman" w:hAnsi="Arial" w:cs="Arial"/>
                <w:bCs/>
                <w:sz w:val="20"/>
                <w:szCs w:val="20"/>
                <w:highlight w:val="yellow"/>
                <w:lang w:val="en-GB"/>
              </w:rPr>
            </w:pPr>
            <w:r w:rsidRPr="00E30C6F">
              <w:rPr>
                <w:rFonts w:ascii="Arial" w:eastAsia="Calibri" w:hAnsi="Arial" w:cs="Arial"/>
                <w:sz w:val="20"/>
                <w:szCs w:val="20"/>
                <w:lang w:val="en-IN"/>
              </w:rPr>
              <w:t>Dimensionless</w:t>
            </w:r>
          </w:p>
        </w:tc>
        <w:tc>
          <w:tcPr>
            <w:tcW w:w="7730"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 xml:space="preserve">The value of </w:t>
            </w:r>
            <w:proofErr w:type="spellStart"/>
            <w:r w:rsidRPr="00E30C6F">
              <w:rPr>
                <w:rFonts w:ascii="Arial" w:eastAsia="Times New Roman" w:hAnsi="Arial" w:cs="Arial"/>
                <w:bCs/>
                <w:sz w:val="20"/>
                <w:szCs w:val="20"/>
                <w:lang w:val="en-GB"/>
              </w:rPr>
              <w:t>Rj</w:t>
            </w:r>
            <w:proofErr w:type="spellEnd"/>
            <w:r w:rsidRPr="00E30C6F">
              <w:rPr>
                <w:rFonts w:ascii="Arial" w:eastAsia="Times New Roman" w:hAnsi="Arial" w:cs="Arial"/>
                <w:bCs/>
                <w:sz w:val="20"/>
                <w:szCs w:val="20"/>
                <w:lang w:val="en-GB"/>
              </w:rPr>
              <w:t xml:space="preserve"> shall be calculated as: R = </w:t>
            </w:r>
            <w:proofErr w:type="spellStart"/>
            <w:r w:rsidRPr="00E30C6F">
              <w:rPr>
                <w:rFonts w:ascii="Arial" w:eastAsia="Times New Roman" w:hAnsi="Arial" w:cs="Arial"/>
                <w:bCs/>
                <w:sz w:val="20"/>
                <w:szCs w:val="20"/>
                <w:lang w:val="en-GB"/>
              </w:rPr>
              <w:t>exp</w:t>
            </w:r>
            <w:proofErr w:type="spellEnd"/>
            <w:r w:rsidRPr="00E30C6F">
              <w:rPr>
                <w:rFonts w:ascii="Arial" w:eastAsia="Times New Roman" w:hAnsi="Arial" w:cs="Arial"/>
                <w:bCs/>
                <w:sz w:val="20"/>
                <w:szCs w:val="20"/>
                <w:lang w:val="en-GB"/>
              </w:rPr>
              <w:t>[-1.085+0.9256xln(A)]/A, where A is above-ground biomass</w:t>
            </w:r>
          </w:p>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 xml:space="preserve">(t </w:t>
            </w:r>
            <w:proofErr w:type="spellStart"/>
            <w:r w:rsidRPr="00E30C6F">
              <w:rPr>
                <w:rFonts w:ascii="Arial" w:eastAsia="Times New Roman" w:hAnsi="Arial" w:cs="Arial"/>
                <w:bCs/>
                <w:sz w:val="20"/>
                <w:szCs w:val="20"/>
                <w:lang w:val="en-GB"/>
              </w:rPr>
              <w:t>d.m</w:t>
            </w:r>
            <w:proofErr w:type="spellEnd"/>
            <w:r w:rsidRPr="00E30C6F">
              <w:rPr>
                <w:rFonts w:ascii="Arial" w:eastAsia="Times New Roman" w:hAnsi="Arial" w:cs="Arial"/>
                <w:bCs/>
                <w:sz w:val="20"/>
                <w:szCs w:val="20"/>
                <w:lang w:val="en-GB"/>
              </w:rPr>
              <w:t>. ha</w:t>
            </w:r>
            <w:r w:rsidRPr="00E30C6F">
              <w:rPr>
                <w:rFonts w:ascii="Arial" w:eastAsia="Times New Roman" w:hAnsi="Arial" w:cs="Arial"/>
                <w:bCs/>
                <w:sz w:val="20"/>
                <w:szCs w:val="20"/>
                <w:vertAlign w:val="superscript"/>
                <w:lang w:val="en-GB"/>
              </w:rPr>
              <w:t>-1</w:t>
            </w:r>
            <w:r w:rsidRPr="00E30C6F">
              <w:rPr>
                <w:rFonts w:ascii="Arial" w:eastAsia="Times New Roman" w:hAnsi="Arial" w:cs="Arial"/>
                <w:bCs/>
                <w:sz w:val="20"/>
                <w:szCs w:val="20"/>
                <w:lang w:val="en-GB"/>
              </w:rPr>
              <w:t>) [Source: Table 4.A.4 of IPCC GPG-LULUCF 2003]</w:t>
            </w:r>
          </w:p>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unless transparent and verifiable information can be provided to justify a different value</w:t>
            </w:r>
          </w:p>
        </w:tc>
      </w:tr>
      <w:tr w:rsidR="00E30C6F" w:rsidRPr="00E30C6F" w:rsidTr="005F469B">
        <w:tc>
          <w:tcPr>
            <w:tcW w:w="1526" w:type="dxa"/>
            <w:vMerge/>
          </w:tcPr>
          <w:p w:rsidR="00E30C6F" w:rsidRPr="00E30C6F" w:rsidRDefault="00E30C6F" w:rsidP="00E30C6F">
            <w:pPr>
              <w:rPr>
                <w:rFonts w:ascii="Arial" w:eastAsia="Times New Roman" w:hAnsi="Arial" w:cs="Arial"/>
                <w:bCs/>
                <w:sz w:val="20"/>
                <w:szCs w:val="20"/>
                <w:highlight w:val="yellow"/>
                <w:lang w:val="en-GB"/>
              </w:rPr>
            </w:pPr>
          </w:p>
        </w:tc>
        <w:tc>
          <w:tcPr>
            <w:tcW w:w="3445" w:type="dxa"/>
            <w:vAlign w:val="center"/>
          </w:tcPr>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Calibri" w:hAnsi="Arial" w:cs="Arial"/>
                <w:sz w:val="20"/>
                <w:szCs w:val="20"/>
                <w:lang w:val="en-IN"/>
              </w:rPr>
              <w:t xml:space="preserve">Area of stratum </w:t>
            </w:r>
            <w:proofErr w:type="spellStart"/>
            <w:r w:rsidRPr="00E30C6F">
              <w:rPr>
                <w:rFonts w:ascii="Arial" w:eastAsia="Calibri" w:hAnsi="Arial" w:cs="Arial"/>
                <w:i/>
                <w:iCs/>
                <w:sz w:val="20"/>
                <w:szCs w:val="20"/>
                <w:lang w:val="en-IN"/>
              </w:rPr>
              <w:t>i</w:t>
            </w:r>
            <w:proofErr w:type="spellEnd"/>
            <w:r w:rsidRPr="00E30C6F">
              <w:rPr>
                <w:rFonts w:ascii="Arial" w:eastAsia="Calibri" w:hAnsi="Arial" w:cs="Arial"/>
                <w:i/>
                <w:iCs/>
                <w:sz w:val="20"/>
                <w:szCs w:val="20"/>
                <w:lang w:val="en-IN"/>
              </w:rPr>
              <w:t xml:space="preserve"> (</w:t>
            </w:r>
            <w:r w:rsidRPr="00E30C6F">
              <w:rPr>
                <w:rFonts w:ascii="Arial" w:eastAsia="Calibri" w:hAnsi="Arial" w:cs="Arial"/>
                <w:sz w:val="20"/>
                <w:szCs w:val="20"/>
                <w:lang w:val="en-IN"/>
              </w:rPr>
              <w:t>Ai)</w:t>
            </w:r>
          </w:p>
        </w:tc>
        <w:tc>
          <w:tcPr>
            <w:tcW w:w="1517" w:type="dxa"/>
            <w:vAlign w:val="center"/>
          </w:tcPr>
          <w:p w:rsidR="00E30C6F" w:rsidRPr="00E30C6F" w:rsidRDefault="00E30C6F" w:rsidP="00E30C6F">
            <w:pPr>
              <w:rPr>
                <w:rFonts w:ascii="Arial" w:eastAsia="Times New Roman" w:hAnsi="Arial" w:cs="Arial"/>
                <w:bCs/>
                <w:sz w:val="20"/>
                <w:szCs w:val="20"/>
                <w:lang w:val="en-GB"/>
              </w:rPr>
            </w:pPr>
            <w:r w:rsidRPr="00E30C6F">
              <w:rPr>
                <w:rFonts w:ascii="Arial" w:eastAsia="Times New Roman" w:hAnsi="Arial" w:cs="Arial"/>
                <w:bCs/>
                <w:sz w:val="20"/>
                <w:szCs w:val="20"/>
                <w:lang w:val="en-GB"/>
              </w:rPr>
              <w:t>Ha</w:t>
            </w:r>
          </w:p>
        </w:tc>
        <w:tc>
          <w:tcPr>
            <w:tcW w:w="7730" w:type="dxa"/>
            <w:vAlign w:val="center"/>
          </w:tcPr>
          <w:p w:rsidR="00E30C6F" w:rsidRPr="00E30C6F" w:rsidRDefault="00E30C6F" w:rsidP="00E30C6F">
            <w:pPr>
              <w:jc w:val="both"/>
              <w:rPr>
                <w:rFonts w:ascii="Arial" w:eastAsia="Calibri" w:hAnsi="Arial" w:cs="Arial"/>
                <w:sz w:val="20"/>
                <w:szCs w:val="20"/>
                <w:lang w:val="en-IN"/>
              </w:rPr>
            </w:pPr>
            <w:r w:rsidRPr="00E30C6F">
              <w:rPr>
                <w:rFonts w:ascii="Arial" w:eastAsia="Calibri" w:hAnsi="Arial" w:cs="Arial"/>
                <w:sz w:val="20"/>
                <w:szCs w:val="20"/>
                <w:lang w:val="en-IN"/>
              </w:rPr>
              <w:t>Field measurement [Standard operating procedures (SOPs) prescribed under national</w:t>
            </w:r>
          </w:p>
          <w:p w:rsidR="00E30C6F" w:rsidRPr="00E30C6F" w:rsidRDefault="00E30C6F" w:rsidP="00E30C6F">
            <w:pPr>
              <w:jc w:val="both"/>
              <w:rPr>
                <w:rFonts w:ascii="Arial" w:eastAsia="Times New Roman" w:hAnsi="Arial" w:cs="Arial"/>
                <w:bCs/>
                <w:sz w:val="20"/>
                <w:szCs w:val="20"/>
                <w:highlight w:val="yellow"/>
                <w:lang w:val="en-GB"/>
              </w:rPr>
            </w:pPr>
            <w:proofErr w:type="gramStart"/>
            <w:r w:rsidRPr="00E30C6F">
              <w:rPr>
                <w:rFonts w:ascii="Arial" w:eastAsia="Calibri" w:hAnsi="Arial" w:cs="Arial"/>
                <w:sz w:val="20"/>
                <w:szCs w:val="20"/>
                <w:lang w:val="en-IN"/>
              </w:rPr>
              <w:t>forest</w:t>
            </w:r>
            <w:proofErr w:type="gramEnd"/>
            <w:r w:rsidRPr="00E30C6F">
              <w:rPr>
                <w:rFonts w:ascii="Arial" w:eastAsia="Calibri" w:hAnsi="Arial" w:cs="Arial"/>
                <w:sz w:val="20"/>
                <w:szCs w:val="20"/>
                <w:lang w:val="en-IN"/>
              </w:rPr>
              <w:t xml:space="preserve"> inventory are applied. In the absence of these, SOPs from published handbooks, or from the IPCC GPG LULUCF 2003, may be applied]</w:t>
            </w:r>
          </w:p>
        </w:tc>
      </w:tr>
      <w:tr w:rsidR="00E30C6F" w:rsidRPr="00E30C6F" w:rsidTr="005F469B">
        <w:tc>
          <w:tcPr>
            <w:tcW w:w="1526" w:type="dxa"/>
            <w:vMerge/>
          </w:tcPr>
          <w:p w:rsidR="00E30C6F" w:rsidRPr="00E30C6F" w:rsidRDefault="00E30C6F" w:rsidP="00E30C6F">
            <w:pPr>
              <w:rPr>
                <w:rFonts w:ascii="Arial" w:eastAsia="Times New Roman" w:hAnsi="Arial" w:cs="Arial"/>
                <w:bCs/>
                <w:sz w:val="20"/>
                <w:szCs w:val="20"/>
                <w:highlight w:val="yellow"/>
                <w:lang w:val="en-GB"/>
              </w:rPr>
            </w:pPr>
          </w:p>
        </w:tc>
        <w:tc>
          <w:tcPr>
            <w:tcW w:w="3445" w:type="dxa"/>
            <w:vAlign w:val="center"/>
          </w:tcPr>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 xml:space="preserve">Total area of sample plots in stratum </w:t>
            </w:r>
            <w:proofErr w:type="spellStart"/>
            <w:r w:rsidRPr="00E30C6F">
              <w:rPr>
                <w:rFonts w:ascii="Arial" w:eastAsia="Times New Roman" w:hAnsi="Arial" w:cs="Arial"/>
                <w:bCs/>
                <w:sz w:val="20"/>
                <w:szCs w:val="20"/>
                <w:lang w:val="en-GB"/>
              </w:rPr>
              <w:t>i</w:t>
            </w:r>
            <w:proofErr w:type="spellEnd"/>
            <w:r w:rsidRPr="00E30C6F">
              <w:rPr>
                <w:rFonts w:ascii="Arial" w:eastAsia="Times New Roman" w:hAnsi="Arial" w:cs="Arial"/>
                <w:bCs/>
                <w:sz w:val="20"/>
                <w:szCs w:val="20"/>
                <w:lang w:val="en-GB"/>
              </w:rPr>
              <w:t xml:space="preserve"> (</w:t>
            </w:r>
            <w:proofErr w:type="spellStart"/>
            <w:r w:rsidRPr="00E30C6F">
              <w:rPr>
                <w:rFonts w:ascii="Arial" w:eastAsia="Times New Roman" w:hAnsi="Arial" w:cs="Arial"/>
                <w:bCs/>
                <w:sz w:val="20"/>
                <w:szCs w:val="20"/>
                <w:lang w:val="en-GB"/>
              </w:rPr>
              <w:t>A</w:t>
            </w:r>
            <w:r w:rsidRPr="00E30C6F">
              <w:rPr>
                <w:rFonts w:ascii="Arial" w:eastAsia="Times New Roman" w:hAnsi="Arial" w:cs="Arial"/>
                <w:bCs/>
                <w:sz w:val="20"/>
                <w:szCs w:val="20"/>
                <w:vertAlign w:val="subscript"/>
                <w:lang w:val="en-GB"/>
              </w:rPr>
              <w:t>plot,i</w:t>
            </w:r>
            <w:proofErr w:type="spellEnd"/>
            <w:r w:rsidRPr="00E30C6F">
              <w:rPr>
                <w:rFonts w:ascii="Arial" w:eastAsia="Times New Roman" w:hAnsi="Arial" w:cs="Arial"/>
                <w:bCs/>
                <w:sz w:val="20"/>
                <w:szCs w:val="20"/>
                <w:lang w:val="en-GB"/>
              </w:rPr>
              <w:t xml:space="preserve">) </w:t>
            </w:r>
          </w:p>
        </w:tc>
        <w:tc>
          <w:tcPr>
            <w:tcW w:w="1517" w:type="dxa"/>
            <w:vAlign w:val="center"/>
          </w:tcPr>
          <w:p w:rsidR="00E30C6F" w:rsidRPr="00E30C6F" w:rsidRDefault="00E30C6F" w:rsidP="00E30C6F">
            <w:pPr>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Ha</w:t>
            </w:r>
          </w:p>
        </w:tc>
        <w:tc>
          <w:tcPr>
            <w:tcW w:w="7730" w:type="dxa"/>
            <w:vAlign w:val="center"/>
          </w:tcPr>
          <w:p w:rsidR="00E30C6F" w:rsidRPr="00E30C6F" w:rsidRDefault="00E30C6F" w:rsidP="00E30C6F">
            <w:pPr>
              <w:jc w:val="both"/>
              <w:rPr>
                <w:rFonts w:ascii="Arial" w:eastAsia="Calibri" w:hAnsi="Arial" w:cs="Arial"/>
                <w:sz w:val="20"/>
                <w:szCs w:val="20"/>
                <w:lang w:val="en-IN"/>
              </w:rPr>
            </w:pPr>
            <w:r w:rsidRPr="00E30C6F">
              <w:rPr>
                <w:rFonts w:ascii="Arial" w:eastAsia="Calibri" w:hAnsi="Arial" w:cs="Arial"/>
                <w:sz w:val="20"/>
                <w:szCs w:val="20"/>
                <w:lang w:val="en-IN"/>
              </w:rPr>
              <w:t>Field measurement [Standard operating procedures (SOPs) prescribed under national</w:t>
            </w:r>
          </w:p>
          <w:p w:rsidR="00E30C6F" w:rsidRPr="00E30C6F" w:rsidRDefault="00E30C6F" w:rsidP="00E30C6F">
            <w:pPr>
              <w:jc w:val="both"/>
              <w:rPr>
                <w:rFonts w:ascii="Arial" w:eastAsia="Times New Roman" w:hAnsi="Arial" w:cs="Arial"/>
                <w:bCs/>
                <w:sz w:val="20"/>
                <w:szCs w:val="20"/>
                <w:highlight w:val="yellow"/>
                <w:lang w:val="en-GB"/>
              </w:rPr>
            </w:pPr>
            <w:proofErr w:type="gramStart"/>
            <w:r w:rsidRPr="00E30C6F">
              <w:rPr>
                <w:rFonts w:ascii="Arial" w:eastAsia="Calibri" w:hAnsi="Arial" w:cs="Arial"/>
                <w:sz w:val="20"/>
                <w:szCs w:val="20"/>
                <w:lang w:val="en-IN"/>
              </w:rPr>
              <w:t>forest</w:t>
            </w:r>
            <w:proofErr w:type="gramEnd"/>
            <w:r w:rsidRPr="00E30C6F">
              <w:rPr>
                <w:rFonts w:ascii="Arial" w:eastAsia="Calibri" w:hAnsi="Arial" w:cs="Arial"/>
                <w:sz w:val="20"/>
                <w:szCs w:val="20"/>
                <w:lang w:val="en-IN"/>
              </w:rPr>
              <w:t xml:space="preserve"> inventory are applied. In the absence of these, SOPs from published handbooks, or from the IPCC GPG LULUCF 2003, may be applied]</w:t>
            </w:r>
          </w:p>
        </w:tc>
      </w:tr>
      <w:tr w:rsidR="00E30C6F" w:rsidRPr="00E30C6F" w:rsidTr="005F469B">
        <w:tc>
          <w:tcPr>
            <w:tcW w:w="1526" w:type="dxa"/>
            <w:vMerge/>
          </w:tcPr>
          <w:p w:rsidR="00E30C6F" w:rsidRPr="00E30C6F" w:rsidRDefault="00E30C6F" w:rsidP="00E30C6F">
            <w:pPr>
              <w:rPr>
                <w:rFonts w:ascii="Arial" w:eastAsia="Times New Roman" w:hAnsi="Arial" w:cs="Arial"/>
                <w:bCs/>
                <w:sz w:val="20"/>
                <w:szCs w:val="20"/>
                <w:highlight w:val="yellow"/>
                <w:lang w:val="en-GB"/>
              </w:rPr>
            </w:pPr>
          </w:p>
        </w:tc>
        <w:tc>
          <w:tcPr>
            <w:tcW w:w="3445" w:type="dxa"/>
            <w:vAlign w:val="center"/>
          </w:tcPr>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Calibri" w:hAnsi="Arial" w:cs="Arial"/>
                <w:sz w:val="20"/>
                <w:szCs w:val="20"/>
                <w:lang w:val="en-IN"/>
              </w:rPr>
              <w:t>Diameter at breast height of a tree (DBH)</w:t>
            </w:r>
          </w:p>
        </w:tc>
        <w:tc>
          <w:tcPr>
            <w:tcW w:w="1517" w:type="dxa"/>
            <w:vAlign w:val="center"/>
          </w:tcPr>
          <w:p w:rsidR="00E30C6F" w:rsidRPr="00E30C6F" w:rsidRDefault="00E30C6F" w:rsidP="00E30C6F">
            <w:pPr>
              <w:jc w:val="center"/>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cm or any unit of length as specified</w:t>
            </w:r>
          </w:p>
        </w:tc>
        <w:tc>
          <w:tcPr>
            <w:tcW w:w="7730"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 xml:space="preserve">Field measurements in sample plots, </w:t>
            </w:r>
          </w:p>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Measurement methods -Standard operating procedures (SOPs) prescribed under national</w:t>
            </w:r>
          </w:p>
          <w:p w:rsidR="00E30C6F" w:rsidRPr="00E30C6F" w:rsidRDefault="00E30C6F" w:rsidP="00E30C6F">
            <w:pPr>
              <w:jc w:val="both"/>
              <w:rPr>
                <w:rFonts w:ascii="Arial" w:eastAsia="Times New Roman" w:hAnsi="Arial" w:cs="Arial"/>
                <w:bCs/>
                <w:sz w:val="20"/>
                <w:szCs w:val="20"/>
                <w:lang w:val="en-GB"/>
              </w:rPr>
            </w:pPr>
            <w:proofErr w:type="gramStart"/>
            <w:r w:rsidRPr="00E30C6F">
              <w:rPr>
                <w:rFonts w:ascii="Arial" w:eastAsia="Times New Roman" w:hAnsi="Arial" w:cs="Arial"/>
                <w:bCs/>
                <w:sz w:val="20"/>
                <w:szCs w:val="20"/>
                <w:lang w:val="en-GB"/>
              </w:rPr>
              <w:t>forest</w:t>
            </w:r>
            <w:proofErr w:type="gramEnd"/>
            <w:r w:rsidRPr="00E30C6F">
              <w:rPr>
                <w:rFonts w:ascii="Arial" w:eastAsia="Times New Roman" w:hAnsi="Arial" w:cs="Arial"/>
                <w:bCs/>
                <w:sz w:val="20"/>
                <w:szCs w:val="20"/>
                <w:lang w:val="en-GB"/>
              </w:rPr>
              <w:t xml:space="preserve"> inventory are applied. In the absence of these, SOPs from</w:t>
            </w:r>
          </w:p>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published handbooks, or from the IPCC GPG LULUCF 2003, may be</w:t>
            </w:r>
          </w:p>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applied</w:t>
            </w:r>
          </w:p>
        </w:tc>
      </w:tr>
      <w:tr w:rsidR="00E30C6F" w:rsidRPr="00E30C6F" w:rsidTr="005F469B">
        <w:tc>
          <w:tcPr>
            <w:tcW w:w="1526" w:type="dxa"/>
            <w:vMerge/>
          </w:tcPr>
          <w:p w:rsidR="00E30C6F" w:rsidRPr="00E30C6F" w:rsidRDefault="00E30C6F" w:rsidP="00E30C6F">
            <w:pPr>
              <w:rPr>
                <w:rFonts w:ascii="Arial" w:eastAsia="Times New Roman" w:hAnsi="Arial" w:cs="Arial"/>
                <w:bCs/>
                <w:sz w:val="20"/>
                <w:szCs w:val="20"/>
                <w:highlight w:val="yellow"/>
                <w:lang w:val="en-GB"/>
              </w:rPr>
            </w:pPr>
          </w:p>
        </w:tc>
        <w:tc>
          <w:tcPr>
            <w:tcW w:w="3445" w:type="dxa"/>
            <w:vAlign w:val="center"/>
          </w:tcPr>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Calibri" w:hAnsi="Arial" w:cs="Arial"/>
                <w:sz w:val="20"/>
                <w:szCs w:val="20"/>
                <w:lang w:val="en-IN"/>
              </w:rPr>
              <w:t>Height of tree (H)</w:t>
            </w:r>
          </w:p>
        </w:tc>
        <w:tc>
          <w:tcPr>
            <w:tcW w:w="1517" w:type="dxa"/>
            <w:vAlign w:val="center"/>
          </w:tcPr>
          <w:p w:rsidR="00E30C6F" w:rsidRPr="00E30C6F" w:rsidRDefault="00E30C6F" w:rsidP="00E30C6F">
            <w:pPr>
              <w:jc w:val="center"/>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m or any other unit of length as specified</w:t>
            </w:r>
          </w:p>
        </w:tc>
        <w:tc>
          <w:tcPr>
            <w:tcW w:w="7730" w:type="dxa"/>
            <w:vAlign w:val="center"/>
          </w:tcPr>
          <w:p w:rsidR="00E30C6F" w:rsidRPr="00E30C6F" w:rsidRDefault="00E30C6F" w:rsidP="00E30C6F">
            <w:pPr>
              <w:jc w:val="both"/>
              <w:rPr>
                <w:rFonts w:ascii="Arial" w:eastAsia="Calibri" w:hAnsi="Arial" w:cs="Arial"/>
                <w:sz w:val="20"/>
                <w:szCs w:val="20"/>
                <w:lang w:val="en-IN"/>
              </w:rPr>
            </w:pPr>
            <w:r w:rsidRPr="00E30C6F">
              <w:rPr>
                <w:rFonts w:ascii="Arial" w:eastAsia="Calibri" w:hAnsi="Arial" w:cs="Arial"/>
                <w:sz w:val="20"/>
                <w:szCs w:val="20"/>
                <w:lang w:val="en-IN"/>
              </w:rPr>
              <w:t>Field measurements in sample plots</w:t>
            </w:r>
          </w:p>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Calibri" w:hAnsi="Arial" w:cs="Arial"/>
                <w:sz w:val="20"/>
                <w:szCs w:val="20"/>
                <w:lang w:val="en-IN"/>
              </w:rPr>
              <w:t xml:space="preserve">Measurement Procedures- Standard operating procedures (SOPs) prescribed under national forest inventory </w:t>
            </w:r>
            <w:proofErr w:type="gramStart"/>
            <w:r w:rsidRPr="00E30C6F">
              <w:rPr>
                <w:rFonts w:ascii="Arial" w:eastAsia="Calibri" w:hAnsi="Arial" w:cs="Arial"/>
                <w:sz w:val="20"/>
                <w:szCs w:val="20"/>
                <w:lang w:val="en-IN"/>
              </w:rPr>
              <w:t>are</w:t>
            </w:r>
            <w:proofErr w:type="gramEnd"/>
            <w:r w:rsidRPr="00E30C6F">
              <w:rPr>
                <w:rFonts w:ascii="Arial" w:eastAsia="Calibri" w:hAnsi="Arial" w:cs="Arial"/>
                <w:sz w:val="20"/>
                <w:szCs w:val="20"/>
                <w:lang w:val="en-IN"/>
              </w:rPr>
              <w:t xml:space="preserve"> applied. In the absence of these, SOPs from published handbooks, or from the IPCC GPG LULUCF 2003, may be applied</w:t>
            </w:r>
          </w:p>
        </w:tc>
      </w:tr>
      <w:tr w:rsidR="00E30C6F" w:rsidRPr="00E30C6F" w:rsidTr="005F469B">
        <w:tc>
          <w:tcPr>
            <w:tcW w:w="1526" w:type="dxa"/>
            <w:vMerge/>
          </w:tcPr>
          <w:p w:rsidR="00E30C6F" w:rsidRPr="00E30C6F" w:rsidRDefault="00E30C6F" w:rsidP="00E30C6F">
            <w:pPr>
              <w:rPr>
                <w:rFonts w:ascii="Arial" w:eastAsia="Times New Roman" w:hAnsi="Arial" w:cs="Arial"/>
                <w:bCs/>
                <w:sz w:val="20"/>
                <w:szCs w:val="20"/>
                <w:highlight w:val="yellow"/>
                <w:lang w:val="en-GB"/>
              </w:rPr>
            </w:pPr>
          </w:p>
        </w:tc>
        <w:tc>
          <w:tcPr>
            <w:tcW w:w="3445"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Time period elapsed between two successive estimations of carbon</w:t>
            </w:r>
          </w:p>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Stock (T)</w:t>
            </w:r>
          </w:p>
        </w:tc>
        <w:tc>
          <w:tcPr>
            <w:tcW w:w="1517"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year</w:t>
            </w:r>
          </w:p>
        </w:tc>
        <w:tc>
          <w:tcPr>
            <w:tcW w:w="7730" w:type="dxa"/>
            <w:vAlign w:val="center"/>
          </w:tcPr>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If the two successive estimations of carbon stock are carried out at different points of time in year t2 and t1, (e.g. in the month of April in year t1 and in the month of September in year t2), then a fractional value shall be assigned to T</w:t>
            </w:r>
          </w:p>
        </w:tc>
      </w:tr>
      <w:tr w:rsidR="00E30C6F" w:rsidRPr="00E30C6F" w:rsidTr="005F469B">
        <w:tc>
          <w:tcPr>
            <w:tcW w:w="1526" w:type="dxa"/>
            <w:vMerge w:val="restart"/>
          </w:tcPr>
          <w:p w:rsidR="00E30C6F" w:rsidRPr="00E30C6F" w:rsidRDefault="00E30C6F" w:rsidP="00E30C6F">
            <w:pPr>
              <w:rPr>
                <w:rFonts w:ascii="Arial" w:eastAsia="Times New Roman" w:hAnsi="Arial" w:cs="Arial"/>
                <w:bCs/>
                <w:sz w:val="20"/>
                <w:szCs w:val="20"/>
                <w:lang w:val="en-GB"/>
              </w:rPr>
            </w:pPr>
            <w:r w:rsidRPr="00E30C6F">
              <w:rPr>
                <w:rFonts w:ascii="Arial" w:eastAsia="Times New Roman" w:hAnsi="Arial" w:cs="Arial"/>
                <w:bCs/>
                <w:sz w:val="20"/>
                <w:szCs w:val="20"/>
                <w:lang w:val="en-GB"/>
              </w:rPr>
              <w:t xml:space="preserve">GHG emissions attributable to displacement of pre-project agricultural activities </w:t>
            </w:r>
          </w:p>
        </w:tc>
        <w:tc>
          <w:tcPr>
            <w:tcW w:w="3445" w:type="dxa"/>
            <w:vAlign w:val="center"/>
          </w:tcPr>
          <w:p w:rsidR="00E30C6F" w:rsidRPr="00E30C6F" w:rsidRDefault="00E30C6F" w:rsidP="00E30C6F">
            <w:pPr>
              <w:jc w:val="both"/>
              <w:rPr>
                <w:rFonts w:ascii="Arial" w:eastAsia="Times New Roman" w:hAnsi="Arial" w:cs="Arial"/>
                <w:bCs/>
                <w:sz w:val="20"/>
                <w:szCs w:val="20"/>
                <w:highlight w:val="yellow"/>
              </w:rPr>
            </w:pPr>
            <w:r w:rsidRPr="00E30C6F">
              <w:rPr>
                <w:rFonts w:ascii="Arial" w:eastAsia="Times New Roman" w:hAnsi="Arial" w:cs="Arial"/>
                <w:bCs/>
                <w:sz w:val="20"/>
                <w:szCs w:val="20"/>
              </w:rPr>
              <w:t>Area of a sample plot; area of a stratum (</w:t>
            </w:r>
            <w:proofErr w:type="spellStart"/>
            <w:r w:rsidRPr="00E30C6F">
              <w:rPr>
                <w:rFonts w:ascii="Arial" w:eastAsia="Times New Roman" w:hAnsi="Arial" w:cs="Arial"/>
                <w:bCs/>
                <w:sz w:val="20"/>
                <w:szCs w:val="20"/>
              </w:rPr>
              <w:t>A</w:t>
            </w:r>
            <w:r w:rsidRPr="00E30C6F">
              <w:rPr>
                <w:rFonts w:ascii="Arial" w:eastAsia="Times New Roman" w:hAnsi="Arial" w:cs="Arial"/>
                <w:bCs/>
                <w:sz w:val="20"/>
                <w:szCs w:val="20"/>
                <w:vertAlign w:val="subscript"/>
              </w:rPr>
              <w:t>plot</w:t>
            </w:r>
            <w:proofErr w:type="spellEnd"/>
            <w:r w:rsidRPr="00E30C6F">
              <w:rPr>
                <w:rFonts w:ascii="Arial" w:eastAsia="Times New Roman" w:hAnsi="Arial" w:cs="Arial"/>
                <w:bCs/>
                <w:sz w:val="20"/>
                <w:szCs w:val="20"/>
              </w:rPr>
              <w:t xml:space="preserve">, </w:t>
            </w:r>
            <w:proofErr w:type="spellStart"/>
            <w:r w:rsidRPr="00E30C6F">
              <w:rPr>
                <w:rFonts w:ascii="Arial" w:eastAsia="Times New Roman" w:hAnsi="Arial" w:cs="Arial"/>
                <w:bCs/>
                <w:sz w:val="20"/>
                <w:szCs w:val="20"/>
              </w:rPr>
              <w:t>A</w:t>
            </w:r>
            <w:r w:rsidRPr="00E30C6F">
              <w:rPr>
                <w:rFonts w:ascii="Arial" w:eastAsia="Times New Roman" w:hAnsi="Arial" w:cs="Arial"/>
                <w:bCs/>
                <w:sz w:val="20"/>
                <w:szCs w:val="20"/>
                <w:vertAlign w:val="subscript"/>
              </w:rPr>
              <w:t>shrub</w:t>
            </w:r>
            <w:proofErr w:type="spellEnd"/>
            <w:r w:rsidRPr="00E30C6F">
              <w:rPr>
                <w:rFonts w:ascii="Arial" w:eastAsia="Times New Roman" w:hAnsi="Arial" w:cs="Arial"/>
                <w:bCs/>
                <w:sz w:val="20"/>
                <w:szCs w:val="20"/>
              </w:rPr>
              <w:t>, A</w:t>
            </w:r>
            <w:r w:rsidRPr="00E30C6F">
              <w:rPr>
                <w:rFonts w:ascii="Arial" w:eastAsia="Times New Roman" w:hAnsi="Arial" w:cs="Arial"/>
                <w:bCs/>
                <w:sz w:val="20"/>
                <w:szCs w:val="20"/>
                <w:vertAlign w:val="subscript"/>
              </w:rPr>
              <w:t>i</w:t>
            </w:r>
            <w:r w:rsidRPr="00E30C6F">
              <w:rPr>
                <w:rFonts w:ascii="Arial" w:eastAsia="Times New Roman" w:hAnsi="Arial" w:cs="Arial"/>
                <w:bCs/>
                <w:sz w:val="20"/>
                <w:szCs w:val="20"/>
              </w:rPr>
              <w:t>)</w:t>
            </w:r>
          </w:p>
        </w:tc>
        <w:tc>
          <w:tcPr>
            <w:tcW w:w="1517"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Ha</w:t>
            </w:r>
          </w:p>
        </w:tc>
        <w:tc>
          <w:tcPr>
            <w:tcW w:w="7730"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Field measurement</w:t>
            </w:r>
          </w:p>
          <w:p w:rsidR="00E30C6F" w:rsidRPr="00E30C6F" w:rsidRDefault="00E30C6F" w:rsidP="00E30C6F">
            <w:pPr>
              <w:jc w:val="both"/>
              <w:rPr>
                <w:rFonts w:ascii="Arial" w:eastAsia="Times New Roman" w:hAnsi="Arial" w:cs="Arial"/>
                <w:bCs/>
                <w:sz w:val="20"/>
                <w:szCs w:val="20"/>
                <w:highlight w:val="yellow"/>
              </w:rPr>
            </w:pPr>
            <w:r w:rsidRPr="00E30C6F">
              <w:rPr>
                <w:rFonts w:ascii="Arial" w:eastAsia="Times New Roman" w:hAnsi="Arial" w:cs="Arial"/>
                <w:bCs/>
                <w:sz w:val="20"/>
                <w:szCs w:val="20"/>
                <w:lang w:val="en-GB"/>
              </w:rPr>
              <w:t xml:space="preserve">Measurement Procedures- Standard operating procedures (SOPs) prescribed under national forest inventory </w:t>
            </w:r>
            <w:proofErr w:type="gramStart"/>
            <w:r w:rsidRPr="00E30C6F">
              <w:rPr>
                <w:rFonts w:ascii="Arial" w:eastAsia="Times New Roman" w:hAnsi="Arial" w:cs="Arial"/>
                <w:bCs/>
                <w:sz w:val="20"/>
                <w:szCs w:val="20"/>
                <w:lang w:val="en-GB"/>
              </w:rPr>
              <w:t>are</w:t>
            </w:r>
            <w:proofErr w:type="gramEnd"/>
            <w:r w:rsidRPr="00E30C6F">
              <w:rPr>
                <w:rFonts w:ascii="Arial" w:eastAsia="Times New Roman" w:hAnsi="Arial" w:cs="Arial"/>
                <w:bCs/>
                <w:sz w:val="20"/>
                <w:szCs w:val="20"/>
                <w:lang w:val="en-GB"/>
              </w:rPr>
              <w:t xml:space="preserve"> applied. In the absence of these, SOPs from published handbooks, or from the IPCC GPG LULUCF 2003, are applied</w:t>
            </w:r>
          </w:p>
        </w:tc>
      </w:tr>
      <w:tr w:rsidR="00E30C6F" w:rsidRPr="00E30C6F" w:rsidTr="005F469B">
        <w:tc>
          <w:tcPr>
            <w:tcW w:w="1526" w:type="dxa"/>
            <w:vMerge/>
          </w:tcPr>
          <w:p w:rsidR="00E30C6F" w:rsidRPr="00E30C6F" w:rsidRDefault="00E30C6F" w:rsidP="00E30C6F">
            <w:pPr>
              <w:rPr>
                <w:rFonts w:ascii="Arial" w:eastAsia="Times New Roman" w:hAnsi="Arial" w:cs="Arial"/>
                <w:bCs/>
                <w:sz w:val="20"/>
                <w:szCs w:val="20"/>
              </w:rPr>
            </w:pPr>
          </w:p>
        </w:tc>
        <w:tc>
          <w:tcPr>
            <w:tcW w:w="3445" w:type="dxa"/>
            <w:vAlign w:val="center"/>
          </w:tcPr>
          <w:p w:rsidR="00E30C6F" w:rsidRPr="00E30C6F" w:rsidRDefault="00E30C6F" w:rsidP="00E30C6F">
            <w:pPr>
              <w:jc w:val="both"/>
              <w:rPr>
                <w:rFonts w:ascii="Arial" w:eastAsia="Times New Roman" w:hAnsi="Arial" w:cs="Arial"/>
                <w:snapToGrid w:val="0"/>
                <w:color w:val="000000"/>
                <w:sz w:val="20"/>
                <w:szCs w:val="20"/>
              </w:rPr>
            </w:pPr>
            <w:r w:rsidRPr="00E30C6F">
              <w:rPr>
                <w:rFonts w:ascii="Arial" w:eastAsia="Times New Roman" w:hAnsi="Arial" w:cs="Arial"/>
                <w:snapToGrid w:val="0"/>
                <w:color w:val="000000"/>
                <w:sz w:val="20"/>
                <w:szCs w:val="20"/>
              </w:rPr>
              <w:t xml:space="preserve">Crown cover of shrubs in shrub biomass stratum </w:t>
            </w:r>
            <w:proofErr w:type="spellStart"/>
            <w:r w:rsidRPr="00E30C6F">
              <w:rPr>
                <w:rFonts w:ascii="Arial" w:eastAsia="Times New Roman" w:hAnsi="Arial" w:cs="Arial"/>
                <w:snapToGrid w:val="0"/>
                <w:color w:val="000000"/>
                <w:sz w:val="20"/>
                <w:szCs w:val="20"/>
              </w:rPr>
              <w:t>i</w:t>
            </w:r>
            <w:proofErr w:type="spellEnd"/>
            <w:r w:rsidRPr="00E30C6F">
              <w:rPr>
                <w:rFonts w:ascii="Arial" w:eastAsia="Times New Roman" w:hAnsi="Arial" w:cs="Arial"/>
                <w:snapToGrid w:val="0"/>
                <w:color w:val="000000"/>
                <w:sz w:val="20"/>
                <w:szCs w:val="20"/>
              </w:rPr>
              <w:t xml:space="preserve"> (</w:t>
            </w:r>
            <w:proofErr w:type="spellStart"/>
            <w:r w:rsidRPr="00E30C6F">
              <w:rPr>
                <w:rFonts w:ascii="Arial" w:eastAsia="Times New Roman" w:hAnsi="Arial" w:cs="Arial"/>
                <w:snapToGrid w:val="0"/>
                <w:color w:val="000000"/>
                <w:sz w:val="20"/>
                <w:szCs w:val="20"/>
              </w:rPr>
              <w:t>CCshrub</w:t>
            </w:r>
            <w:proofErr w:type="spellEnd"/>
            <w:r w:rsidRPr="00E30C6F">
              <w:rPr>
                <w:rFonts w:ascii="Arial" w:eastAsia="Times New Roman" w:hAnsi="Arial" w:cs="Arial"/>
                <w:snapToGrid w:val="0"/>
                <w:color w:val="000000"/>
                <w:sz w:val="20"/>
                <w:szCs w:val="20"/>
              </w:rPr>
              <w:t>)</w:t>
            </w:r>
          </w:p>
          <w:p w:rsidR="00E30C6F" w:rsidRPr="00E30C6F" w:rsidRDefault="00E30C6F" w:rsidP="00E30C6F">
            <w:pPr>
              <w:jc w:val="both"/>
              <w:rPr>
                <w:rFonts w:ascii="Arial" w:eastAsia="Times New Roman" w:hAnsi="Arial" w:cs="Arial"/>
                <w:bCs/>
                <w:sz w:val="20"/>
                <w:szCs w:val="20"/>
                <w:highlight w:val="yellow"/>
              </w:rPr>
            </w:pPr>
          </w:p>
        </w:tc>
        <w:tc>
          <w:tcPr>
            <w:tcW w:w="1517" w:type="dxa"/>
            <w:vAlign w:val="center"/>
          </w:tcPr>
          <w:p w:rsidR="00E30C6F" w:rsidRPr="00E30C6F" w:rsidRDefault="00E30C6F" w:rsidP="00E30C6F">
            <w:pPr>
              <w:jc w:val="center"/>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Dimensionless</w:t>
            </w:r>
          </w:p>
        </w:tc>
        <w:tc>
          <w:tcPr>
            <w:tcW w:w="7730"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Field measurement</w:t>
            </w:r>
          </w:p>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 xml:space="preserve">[Considering that the biomass in shrubs is smaller than the biomass in trees, a simplified method of measurement may be used for estimating shrub crown cover. Ocular estimation of crown cover may be carried out or any other method such as the line transect method or the </w:t>
            </w:r>
            <w:proofErr w:type="spellStart"/>
            <w:r w:rsidRPr="00E30C6F">
              <w:rPr>
                <w:rFonts w:ascii="Arial" w:eastAsia="Times New Roman" w:hAnsi="Arial" w:cs="Arial"/>
                <w:bCs/>
                <w:sz w:val="20"/>
                <w:szCs w:val="20"/>
                <w:lang w:val="en-GB"/>
              </w:rPr>
              <w:t>relascope</w:t>
            </w:r>
            <w:proofErr w:type="spellEnd"/>
            <w:r w:rsidRPr="00E30C6F">
              <w:rPr>
                <w:rFonts w:ascii="Arial" w:eastAsia="Times New Roman" w:hAnsi="Arial" w:cs="Arial"/>
                <w:bCs/>
                <w:sz w:val="20"/>
                <w:szCs w:val="20"/>
                <w:lang w:val="en-GB"/>
              </w:rPr>
              <w:t xml:space="preserve"> method may be applied]</w:t>
            </w:r>
          </w:p>
          <w:p w:rsidR="00E30C6F" w:rsidRPr="00E30C6F" w:rsidRDefault="00E30C6F" w:rsidP="00E30C6F">
            <w:pPr>
              <w:jc w:val="both"/>
              <w:rPr>
                <w:rFonts w:ascii="Arial" w:eastAsia="Times New Roman" w:hAnsi="Arial" w:cs="Arial"/>
                <w:bCs/>
                <w:sz w:val="20"/>
                <w:szCs w:val="20"/>
                <w:highlight w:val="yellow"/>
                <w:lang w:val="en-GB"/>
              </w:rPr>
            </w:pPr>
          </w:p>
        </w:tc>
      </w:tr>
      <w:tr w:rsidR="00E30C6F" w:rsidRPr="00E30C6F" w:rsidTr="005F469B">
        <w:tc>
          <w:tcPr>
            <w:tcW w:w="1526" w:type="dxa"/>
            <w:vMerge w:val="restart"/>
          </w:tcPr>
          <w:p w:rsidR="00E30C6F" w:rsidRPr="00E30C6F" w:rsidRDefault="00E30C6F" w:rsidP="00E30C6F">
            <w:pPr>
              <w:rPr>
                <w:rFonts w:ascii="Arial" w:eastAsia="Times New Roman" w:hAnsi="Arial" w:cs="Arial"/>
                <w:bCs/>
                <w:sz w:val="20"/>
                <w:szCs w:val="20"/>
                <w:lang w:val="en-GB"/>
              </w:rPr>
            </w:pPr>
            <w:r w:rsidRPr="00E30C6F">
              <w:rPr>
                <w:rFonts w:ascii="Arial" w:eastAsia="Times New Roman" w:hAnsi="Arial" w:cs="Arial"/>
                <w:bCs/>
                <w:sz w:val="20"/>
                <w:szCs w:val="20"/>
                <w:lang w:val="en-GB"/>
              </w:rPr>
              <w:lastRenderedPageBreak/>
              <w:t>Afforestation and reforestation (sequestration scenarios)</w:t>
            </w:r>
          </w:p>
        </w:tc>
        <w:tc>
          <w:tcPr>
            <w:tcW w:w="3445" w:type="dxa"/>
            <w:vAlign w:val="center"/>
          </w:tcPr>
          <w:p w:rsidR="00E30C6F" w:rsidRPr="00E30C6F" w:rsidRDefault="00E30C6F" w:rsidP="00E30C6F">
            <w:pPr>
              <w:jc w:val="both"/>
              <w:rPr>
                <w:rFonts w:ascii="Arial" w:eastAsia="Times New Roman" w:hAnsi="Arial" w:cs="Arial"/>
                <w:bCs/>
                <w:sz w:val="20"/>
                <w:szCs w:val="20"/>
                <w:highlight w:val="yellow"/>
              </w:rPr>
            </w:pPr>
            <w:r w:rsidRPr="00E30C6F">
              <w:rPr>
                <w:rFonts w:ascii="Arial" w:eastAsia="Times New Roman" w:hAnsi="Arial" w:cs="Arial"/>
                <w:bCs/>
                <w:sz w:val="20"/>
                <w:szCs w:val="20"/>
              </w:rPr>
              <w:t>Crown cover of trees in the baseline stratum I (</w:t>
            </w:r>
            <w:proofErr w:type="spellStart"/>
            <w:r w:rsidRPr="00E30C6F">
              <w:rPr>
                <w:rFonts w:ascii="Arial" w:eastAsia="Times New Roman" w:hAnsi="Arial" w:cs="Arial"/>
                <w:bCs/>
                <w:sz w:val="20"/>
                <w:szCs w:val="20"/>
              </w:rPr>
              <w:t>CC</w:t>
            </w:r>
            <w:r w:rsidRPr="00E30C6F">
              <w:rPr>
                <w:rFonts w:ascii="Arial" w:eastAsia="Times New Roman" w:hAnsi="Arial" w:cs="Arial"/>
                <w:bCs/>
                <w:sz w:val="20"/>
                <w:szCs w:val="20"/>
                <w:vertAlign w:val="subscript"/>
              </w:rPr>
              <w:t>tree_BSL,i</w:t>
            </w:r>
            <w:proofErr w:type="spellEnd"/>
            <w:r w:rsidRPr="00E30C6F">
              <w:rPr>
                <w:rFonts w:ascii="Arial" w:eastAsia="Times New Roman" w:hAnsi="Arial" w:cs="Arial"/>
                <w:bCs/>
                <w:sz w:val="20"/>
                <w:szCs w:val="20"/>
              </w:rPr>
              <w:t>)</w:t>
            </w:r>
          </w:p>
        </w:tc>
        <w:tc>
          <w:tcPr>
            <w:tcW w:w="1517" w:type="dxa"/>
            <w:vAlign w:val="center"/>
          </w:tcPr>
          <w:p w:rsidR="00E30C6F" w:rsidRPr="00E30C6F" w:rsidRDefault="00E30C6F" w:rsidP="00E30C6F">
            <w:pPr>
              <w:jc w:val="center"/>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Dimensionless</w:t>
            </w:r>
          </w:p>
        </w:tc>
        <w:tc>
          <w:tcPr>
            <w:tcW w:w="7730"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 xml:space="preserve">Field measurement, </w:t>
            </w:r>
          </w:p>
          <w:p w:rsidR="00E30C6F" w:rsidRPr="00E30C6F" w:rsidRDefault="00E30C6F" w:rsidP="00E30C6F">
            <w:pPr>
              <w:jc w:val="both"/>
              <w:rPr>
                <w:rFonts w:ascii="Arial" w:eastAsia="Times New Roman" w:hAnsi="Arial" w:cs="Arial"/>
                <w:bCs/>
                <w:sz w:val="20"/>
                <w:szCs w:val="20"/>
                <w:highlight w:val="yellow"/>
              </w:rPr>
            </w:pPr>
            <w:r w:rsidRPr="00E30C6F">
              <w:rPr>
                <w:rFonts w:ascii="Arial" w:eastAsia="Times New Roman" w:hAnsi="Arial" w:cs="Arial"/>
                <w:bCs/>
                <w:sz w:val="20"/>
                <w:szCs w:val="20"/>
              </w:rPr>
              <w:t xml:space="preserve">Measurement Procedures- Considering that the biomass in trees in the baseline is smaller compared to the biomass in trees in the project, a simplified method of measurement may be used for estimating tree crown cover. Ocular estimation of tree crown cover may be carried out or any other method such as the line transect method or the </w:t>
            </w:r>
            <w:proofErr w:type="spellStart"/>
            <w:r w:rsidRPr="00E30C6F">
              <w:rPr>
                <w:rFonts w:ascii="Arial" w:eastAsia="Times New Roman" w:hAnsi="Arial" w:cs="Arial"/>
                <w:bCs/>
                <w:sz w:val="20"/>
                <w:szCs w:val="20"/>
              </w:rPr>
              <w:t>relascope</w:t>
            </w:r>
            <w:proofErr w:type="spellEnd"/>
            <w:r w:rsidRPr="00E30C6F">
              <w:rPr>
                <w:rFonts w:ascii="Arial" w:eastAsia="Times New Roman" w:hAnsi="Arial" w:cs="Arial"/>
                <w:bCs/>
                <w:sz w:val="20"/>
                <w:szCs w:val="20"/>
              </w:rPr>
              <w:t xml:space="preserve"> method may be applied</w:t>
            </w:r>
          </w:p>
        </w:tc>
      </w:tr>
      <w:tr w:rsidR="00E30C6F" w:rsidRPr="00E30C6F" w:rsidTr="005F469B">
        <w:tc>
          <w:tcPr>
            <w:tcW w:w="1526" w:type="dxa"/>
            <w:vMerge/>
          </w:tcPr>
          <w:p w:rsidR="00E30C6F" w:rsidRPr="00E30C6F" w:rsidRDefault="00E30C6F" w:rsidP="00E30C6F">
            <w:pPr>
              <w:rPr>
                <w:rFonts w:ascii="Arial" w:eastAsia="Times New Roman" w:hAnsi="Arial" w:cs="Arial"/>
                <w:bCs/>
                <w:sz w:val="20"/>
                <w:szCs w:val="20"/>
                <w:highlight w:val="yellow"/>
                <w:lang w:val="en-GB"/>
              </w:rPr>
            </w:pPr>
          </w:p>
        </w:tc>
        <w:tc>
          <w:tcPr>
            <w:tcW w:w="3445" w:type="dxa"/>
            <w:vAlign w:val="center"/>
          </w:tcPr>
          <w:p w:rsidR="00E30C6F" w:rsidRPr="00E30C6F" w:rsidRDefault="00E30C6F" w:rsidP="00E30C6F">
            <w:pPr>
              <w:jc w:val="both"/>
              <w:rPr>
                <w:rFonts w:ascii="Arial" w:eastAsia="Times New Roman" w:hAnsi="Arial" w:cs="Arial"/>
                <w:bCs/>
                <w:sz w:val="20"/>
                <w:szCs w:val="20"/>
                <w:highlight w:val="yellow"/>
              </w:rPr>
            </w:pPr>
            <w:r w:rsidRPr="00E30C6F">
              <w:rPr>
                <w:rFonts w:ascii="Arial" w:eastAsia="Times New Roman" w:hAnsi="Arial" w:cs="Arial"/>
                <w:bCs/>
                <w:sz w:val="20"/>
                <w:szCs w:val="20"/>
              </w:rPr>
              <w:t>Area of land from which agricultural activity is being displaced in year t (</w:t>
            </w:r>
            <w:proofErr w:type="spellStart"/>
            <w:r w:rsidRPr="00E30C6F">
              <w:rPr>
                <w:rFonts w:ascii="Arial" w:eastAsia="Times New Roman" w:hAnsi="Arial" w:cs="Arial"/>
                <w:bCs/>
                <w:sz w:val="20"/>
                <w:szCs w:val="20"/>
              </w:rPr>
              <w:t>Adisp,t</w:t>
            </w:r>
            <w:proofErr w:type="spellEnd"/>
            <w:r w:rsidRPr="00E30C6F">
              <w:rPr>
                <w:rFonts w:ascii="Arial" w:eastAsia="Times New Roman" w:hAnsi="Arial" w:cs="Arial"/>
                <w:bCs/>
                <w:sz w:val="20"/>
                <w:szCs w:val="20"/>
              </w:rPr>
              <w:t>)</w:t>
            </w:r>
          </w:p>
        </w:tc>
        <w:tc>
          <w:tcPr>
            <w:tcW w:w="1517" w:type="dxa"/>
            <w:vAlign w:val="center"/>
          </w:tcPr>
          <w:p w:rsidR="00E30C6F" w:rsidRPr="00E30C6F" w:rsidRDefault="00E30C6F" w:rsidP="00E30C6F">
            <w:pPr>
              <w:jc w:val="center"/>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Ha</w:t>
            </w:r>
          </w:p>
        </w:tc>
        <w:tc>
          <w:tcPr>
            <w:tcW w:w="7730"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Field measurement</w:t>
            </w:r>
          </w:p>
          <w:p w:rsidR="00E30C6F" w:rsidRPr="00E30C6F" w:rsidRDefault="00E30C6F" w:rsidP="00E30C6F">
            <w:pPr>
              <w:jc w:val="both"/>
              <w:rPr>
                <w:rFonts w:ascii="Arial" w:eastAsia="Times New Roman" w:hAnsi="Arial" w:cs="Arial"/>
                <w:bCs/>
                <w:sz w:val="20"/>
                <w:szCs w:val="20"/>
                <w:highlight w:val="yellow"/>
              </w:rPr>
            </w:pPr>
            <w:r w:rsidRPr="00E30C6F">
              <w:rPr>
                <w:rFonts w:ascii="Arial" w:eastAsia="Times New Roman" w:hAnsi="Arial" w:cs="Arial"/>
                <w:bCs/>
                <w:sz w:val="20"/>
                <w:szCs w:val="20"/>
              </w:rPr>
              <w:t>[Standard operating procedures (SOPs) prescribed under national forest inventory are applied. In the absence of these, SOPs from published handbooks, or from the IPCC GPG LULUCF 2003, are applied]</w:t>
            </w:r>
          </w:p>
        </w:tc>
      </w:tr>
      <w:tr w:rsidR="00E30C6F" w:rsidRPr="00E30C6F" w:rsidTr="005F469B">
        <w:tc>
          <w:tcPr>
            <w:tcW w:w="1526" w:type="dxa"/>
            <w:vMerge/>
          </w:tcPr>
          <w:p w:rsidR="00E30C6F" w:rsidRPr="00E30C6F" w:rsidRDefault="00E30C6F" w:rsidP="00E30C6F">
            <w:pPr>
              <w:rPr>
                <w:rFonts w:ascii="Arial" w:eastAsia="Times New Roman" w:hAnsi="Arial" w:cs="Arial"/>
                <w:bCs/>
                <w:sz w:val="20"/>
                <w:szCs w:val="20"/>
                <w:highlight w:val="yellow"/>
                <w:lang w:val="en-GB"/>
              </w:rPr>
            </w:pPr>
          </w:p>
        </w:tc>
        <w:tc>
          <w:tcPr>
            <w:tcW w:w="3445" w:type="dxa"/>
            <w:vAlign w:val="center"/>
          </w:tcPr>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 xml:space="preserve">Baseline net GHG removals by sinks in year t </w:t>
            </w:r>
          </w:p>
        </w:tc>
        <w:tc>
          <w:tcPr>
            <w:tcW w:w="1517" w:type="dxa"/>
            <w:vAlign w:val="center"/>
          </w:tcPr>
          <w:p w:rsidR="00E30C6F" w:rsidRPr="00E30C6F" w:rsidRDefault="00E30C6F" w:rsidP="00E30C6F">
            <w:pPr>
              <w:jc w:val="center"/>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t CO2-e</w:t>
            </w:r>
          </w:p>
        </w:tc>
        <w:tc>
          <w:tcPr>
            <w:tcW w:w="7730"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Calculations of baseline emissions</w:t>
            </w:r>
          </w:p>
        </w:tc>
      </w:tr>
      <w:tr w:rsidR="00E30C6F" w:rsidRPr="00E30C6F" w:rsidTr="005F469B">
        <w:tc>
          <w:tcPr>
            <w:tcW w:w="1526" w:type="dxa"/>
            <w:vMerge/>
          </w:tcPr>
          <w:p w:rsidR="00E30C6F" w:rsidRPr="00E30C6F" w:rsidRDefault="00E30C6F" w:rsidP="00E30C6F">
            <w:pPr>
              <w:rPr>
                <w:rFonts w:ascii="Arial" w:eastAsia="Times New Roman" w:hAnsi="Arial" w:cs="Arial"/>
                <w:bCs/>
                <w:sz w:val="20"/>
                <w:szCs w:val="20"/>
                <w:highlight w:val="yellow"/>
                <w:lang w:val="en-GB"/>
              </w:rPr>
            </w:pPr>
          </w:p>
        </w:tc>
        <w:tc>
          <w:tcPr>
            <w:tcW w:w="3445" w:type="dxa"/>
            <w:vAlign w:val="center"/>
          </w:tcPr>
          <w:p w:rsidR="00E30C6F" w:rsidRPr="00E30C6F" w:rsidRDefault="00E30C6F" w:rsidP="00E30C6F">
            <w:pPr>
              <w:jc w:val="both"/>
              <w:rPr>
                <w:rFonts w:ascii="Arial" w:eastAsia="Times New Roman" w:hAnsi="Arial" w:cs="Arial"/>
                <w:bCs/>
                <w:sz w:val="20"/>
                <w:szCs w:val="20"/>
                <w:highlight w:val="yellow"/>
              </w:rPr>
            </w:pPr>
            <w:r w:rsidRPr="00E30C6F">
              <w:rPr>
                <w:rFonts w:ascii="Arial" w:eastAsia="Times New Roman" w:hAnsi="Arial" w:cs="Arial"/>
                <w:bCs/>
                <w:sz w:val="20"/>
                <w:szCs w:val="20"/>
              </w:rPr>
              <w:t xml:space="preserve">Density </w:t>
            </w:r>
            <w:proofErr w:type="spellStart"/>
            <w:r w:rsidRPr="00E30C6F">
              <w:rPr>
                <w:rFonts w:ascii="Arial" w:eastAsia="Times New Roman" w:hAnsi="Arial" w:cs="Arial"/>
                <w:bCs/>
                <w:sz w:val="20"/>
                <w:szCs w:val="20"/>
              </w:rPr>
              <w:t>Overbark</w:t>
            </w:r>
            <w:proofErr w:type="spellEnd"/>
            <w:r w:rsidRPr="00E30C6F">
              <w:rPr>
                <w:rFonts w:ascii="Arial" w:eastAsia="Times New Roman" w:hAnsi="Arial" w:cs="Arial"/>
                <w:bCs/>
                <w:sz w:val="20"/>
                <w:szCs w:val="20"/>
              </w:rPr>
              <w:t xml:space="preserve"> of tree stem for tree species (</w:t>
            </w:r>
            <w:proofErr w:type="spellStart"/>
            <w:r w:rsidRPr="00E30C6F">
              <w:rPr>
                <w:rFonts w:ascii="Arial" w:eastAsia="Times New Roman" w:hAnsi="Arial" w:cs="Arial"/>
                <w:bCs/>
                <w:sz w:val="20"/>
                <w:szCs w:val="20"/>
              </w:rPr>
              <w:t>Dj</w:t>
            </w:r>
            <w:proofErr w:type="spellEnd"/>
            <w:r w:rsidRPr="00E30C6F">
              <w:rPr>
                <w:rFonts w:ascii="Arial" w:eastAsia="Times New Roman" w:hAnsi="Arial" w:cs="Arial"/>
                <w:bCs/>
                <w:sz w:val="20"/>
                <w:szCs w:val="20"/>
              </w:rPr>
              <w:t>)</w:t>
            </w:r>
          </w:p>
        </w:tc>
        <w:tc>
          <w:tcPr>
            <w:tcW w:w="1517" w:type="dxa"/>
            <w:vAlign w:val="center"/>
          </w:tcPr>
          <w:p w:rsidR="00E30C6F" w:rsidRPr="00E30C6F" w:rsidRDefault="00E30C6F" w:rsidP="00E30C6F">
            <w:pPr>
              <w:jc w:val="center"/>
              <w:rPr>
                <w:rFonts w:ascii="Arial" w:eastAsia="Times New Roman" w:hAnsi="Arial" w:cs="Arial"/>
                <w:bCs/>
                <w:sz w:val="20"/>
                <w:szCs w:val="20"/>
                <w:highlight w:val="yellow"/>
              </w:rPr>
            </w:pPr>
            <w:r w:rsidRPr="00E30C6F">
              <w:rPr>
                <w:rFonts w:ascii="Arial" w:eastAsia="Times New Roman" w:hAnsi="Arial" w:cs="Arial"/>
                <w:bCs/>
                <w:sz w:val="20"/>
                <w:szCs w:val="20"/>
              </w:rPr>
              <w:t xml:space="preserve">t </w:t>
            </w:r>
            <w:proofErr w:type="spellStart"/>
            <w:r w:rsidRPr="00E30C6F">
              <w:rPr>
                <w:rFonts w:ascii="Arial" w:eastAsia="Times New Roman" w:hAnsi="Arial" w:cs="Arial"/>
                <w:bCs/>
                <w:sz w:val="20"/>
                <w:szCs w:val="20"/>
              </w:rPr>
              <w:t>d.m</w:t>
            </w:r>
            <w:proofErr w:type="spellEnd"/>
            <w:r w:rsidRPr="00E30C6F">
              <w:rPr>
                <w:rFonts w:ascii="Arial" w:eastAsia="Times New Roman" w:hAnsi="Arial" w:cs="Arial"/>
                <w:bCs/>
                <w:sz w:val="20"/>
                <w:szCs w:val="20"/>
              </w:rPr>
              <w:t>. m</w:t>
            </w:r>
            <w:r w:rsidRPr="00E30C6F">
              <w:rPr>
                <w:rFonts w:ascii="Arial" w:eastAsia="Times New Roman" w:hAnsi="Arial" w:cs="Arial"/>
                <w:bCs/>
                <w:sz w:val="20"/>
                <w:szCs w:val="20"/>
                <w:vertAlign w:val="superscript"/>
              </w:rPr>
              <w:t>-3</w:t>
            </w:r>
          </w:p>
        </w:tc>
        <w:tc>
          <w:tcPr>
            <w:tcW w:w="7730" w:type="dxa"/>
            <w:vAlign w:val="center"/>
          </w:tcPr>
          <w:p w:rsidR="00E30C6F" w:rsidRPr="00E30C6F" w:rsidRDefault="00E30C6F" w:rsidP="00E30C6F">
            <w:pPr>
              <w:jc w:val="both"/>
              <w:rPr>
                <w:rFonts w:ascii="Arial" w:eastAsia="Times New Roman" w:hAnsi="Arial" w:cs="Arial"/>
                <w:bCs/>
                <w:sz w:val="20"/>
                <w:szCs w:val="20"/>
                <w:highlight w:val="yellow"/>
              </w:rPr>
            </w:pPr>
            <w:r w:rsidRPr="00E30C6F">
              <w:rPr>
                <w:rFonts w:ascii="Arial" w:eastAsia="Times New Roman" w:hAnsi="Arial" w:cs="Arial"/>
                <w:bCs/>
                <w:sz w:val="20"/>
                <w:szCs w:val="20"/>
              </w:rPr>
              <w:t>Calculation of carbon stocks and changes in carbon stock</w:t>
            </w:r>
          </w:p>
        </w:tc>
      </w:tr>
    </w:tbl>
    <w:p w:rsidR="00E30C6F" w:rsidRDefault="00E30C6F">
      <w:pPr>
        <w:rPr>
          <w:lang w:val="en-US"/>
        </w:rPr>
      </w:pPr>
    </w:p>
    <w:p w:rsidR="00E30C6F" w:rsidRDefault="00E30C6F">
      <w:pPr>
        <w:rPr>
          <w:lang w:val="en-US"/>
        </w:rPr>
      </w:pPr>
      <w:r>
        <w:rPr>
          <w:lang w:val="en-US"/>
        </w:rPr>
        <w:t>LIVESTOCK</w:t>
      </w:r>
    </w:p>
    <w:tbl>
      <w:tblPr>
        <w:tblStyle w:val="TableGrid"/>
        <w:tblW w:w="0" w:type="auto"/>
        <w:tblLook w:val="04A0" w:firstRow="1" w:lastRow="0" w:firstColumn="1" w:lastColumn="0" w:noHBand="0" w:noVBand="1"/>
      </w:tblPr>
      <w:tblGrid>
        <w:gridCol w:w="1384"/>
        <w:gridCol w:w="3611"/>
        <w:gridCol w:w="1413"/>
        <w:gridCol w:w="7766"/>
      </w:tblGrid>
      <w:tr w:rsidR="00E30C6F" w:rsidRPr="00E30C6F" w:rsidTr="005F469B">
        <w:trPr>
          <w:tblHeader/>
        </w:trPr>
        <w:tc>
          <w:tcPr>
            <w:tcW w:w="1384" w:type="dxa"/>
          </w:tcPr>
          <w:p w:rsidR="00E30C6F" w:rsidRPr="00E30C6F" w:rsidRDefault="00E30C6F" w:rsidP="00E30C6F">
            <w:pPr>
              <w:rPr>
                <w:rFonts w:ascii="Arial" w:eastAsia="Times New Roman" w:hAnsi="Arial" w:cs="Arial"/>
                <w:bCs/>
                <w:sz w:val="20"/>
                <w:szCs w:val="20"/>
                <w:lang w:val="en-GB"/>
              </w:rPr>
            </w:pPr>
          </w:p>
        </w:tc>
        <w:tc>
          <w:tcPr>
            <w:tcW w:w="3620"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Parameter</w:t>
            </w:r>
          </w:p>
        </w:tc>
        <w:tc>
          <w:tcPr>
            <w:tcW w:w="1414"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Units</w:t>
            </w:r>
          </w:p>
        </w:tc>
        <w:tc>
          <w:tcPr>
            <w:tcW w:w="7800"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Remarks</w:t>
            </w:r>
          </w:p>
        </w:tc>
      </w:tr>
      <w:tr w:rsidR="00E30C6F" w:rsidRPr="00E30C6F" w:rsidTr="005F469B">
        <w:tc>
          <w:tcPr>
            <w:tcW w:w="1384" w:type="dxa"/>
            <w:vMerge w:val="restart"/>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GHG Mitigation measures and manure management systems</w:t>
            </w:r>
          </w:p>
        </w:tc>
        <w:tc>
          <w:tcPr>
            <w:tcW w:w="3620" w:type="dxa"/>
            <w:vAlign w:val="center"/>
          </w:tcPr>
          <w:p w:rsidR="00E30C6F" w:rsidRPr="00E30C6F" w:rsidRDefault="00E30C6F" w:rsidP="00E30C6F">
            <w:pPr>
              <w:jc w:val="both"/>
              <w:rPr>
                <w:rFonts w:ascii="Arial" w:eastAsia="Calibri" w:hAnsi="Arial" w:cs="Arial"/>
                <w:sz w:val="20"/>
                <w:szCs w:val="20"/>
                <w:lang w:val="en-IN"/>
              </w:rPr>
            </w:pPr>
            <w:r w:rsidRPr="00E30C6F">
              <w:rPr>
                <w:rFonts w:ascii="Arial" w:eastAsia="Calibri" w:hAnsi="Arial" w:cs="Arial"/>
                <w:sz w:val="20"/>
                <w:szCs w:val="20"/>
                <w:lang w:val="en-IN"/>
              </w:rPr>
              <w:t>Number of animal heads per year by livestock type</w:t>
            </w:r>
          </w:p>
        </w:tc>
        <w:tc>
          <w:tcPr>
            <w:tcW w:w="1414"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No. of heads</w:t>
            </w:r>
          </w:p>
        </w:tc>
        <w:tc>
          <w:tcPr>
            <w:tcW w:w="7800" w:type="dxa"/>
            <w:vAlign w:val="center"/>
          </w:tcPr>
          <w:p w:rsidR="00E30C6F" w:rsidRPr="00E30C6F" w:rsidRDefault="00E30C6F" w:rsidP="00E30C6F">
            <w:pPr>
              <w:jc w:val="both"/>
              <w:rPr>
                <w:rFonts w:ascii="Arial" w:eastAsia="Times New Roman" w:hAnsi="Arial" w:cs="Arial"/>
                <w:bCs/>
                <w:sz w:val="20"/>
                <w:szCs w:val="20"/>
                <w:lang w:val="en-IN"/>
              </w:rPr>
            </w:pPr>
            <w:r w:rsidRPr="00E30C6F">
              <w:rPr>
                <w:rFonts w:ascii="Arial" w:eastAsia="Times New Roman" w:hAnsi="Arial" w:cs="Arial"/>
                <w:bCs/>
                <w:sz w:val="20"/>
                <w:szCs w:val="20"/>
                <w:lang w:val="en-IN"/>
              </w:rPr>
              <w:t>The livestock types covered in the analyses are: dairy cow, other cattle (calves, heifers, local and imported bulls), sheep, goats, horses, swine, poultry and deer).</w:t>
            </w:r>
          </w:p>
          <w:p w:rsidR="00E30C6F" w:rsidRPr="00E30C6F" w:rsidRDefault="00E30C6F" w:rsidP="00E30C6F">
            <w:pPr>
              <w:jc w:val="both"/>
              <w:rPr>
                <w:rFonts w:ascii="Arial" w:eastAsia="Times New Roman" w:hAnsi="Arial" w:cs="Arial"/>
                <w:bCs/>
                <w:sz w:val="20"/>
                <w:szCs w:val="20"/>
                <w:lang w:val="en-IN"/>
              </w:rPr>
            </w:pPr>
            <w:r w:rsidRPr="00E30C6F">
              <w:rPr>
                <w:rFonts w:ascii="Arial" w:eastAsia="Times New Roman" w:hAnsi="Arial" w:cs="Arial"/>
                <w:bCs/>
                <w:sz w:val="20"/>
                <w:szCs w:val="20"/>
                <w:lang w:val="en-IN"/>
              </w:rPr>
              <w:t>Purpose: Calculation of baseline and project emissions</w:t>
            </w:r>
          </w:p>
        </w:tc>
      </w:tr>
      <w:tr w:rsidR="00E30C6F" w:rsidRPr="00E30C6F" w:rsidTr="005F469B">
        <w:tc>
          <w:tcPr>
            <w:tcW w:w="1384" w:type="dxa"/>
            <w:vMerge/>
            <w:vAlign w:val="center"/>
          </w:tcPr>
          <w:p w:rsidR="00E30C6F" w:rsidRPr="00E30C6F" w:rsidRDefault="00E30C6F" w:rsidP="00E30C6F">
            <w:pPr>
              <w:jc w:val="center"/>
              <w:rPr>
                <w:rFonts w:ascii="Arial" w:eastAsia="Times New Roman" w:hAnsi="Arial" w:cs="Arial"/>
                <w:bCs/>
                <w:sz w:val="20"/>
                <w:szCs w:val="20"/>
                <w:highlight w:val="yellow"/>
                <w:lang w:val="en-GB"/>
              </w:rPr>
            </w:pPr>
          </w:p>
        </w:tc>
        <w:tc>
          <w:tcPr>
            <w:tcW w:w="3620" w:type="dxa"/>
            <w:vAlign w:val="center"/>
          </w:tcPr>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Calibri" w:hAnsi="Arial" w:cs="Arial"/>
                <w:sz w:val="20"/>
                <w:szCs w:val="20"/>
              </w:rPr>
              <w:t>volatile solids (VS) degradation factor (</w:t>
            </w:r>
            <w:proofErr w:type="spellStart"/>
            <w:r w:rsidRPr="00E30C6F">
              <w:rPr>
                <w:rFonts w:ascii="Arial" w:eastAsia="Calibri" w:hAnsi="Arial" w:cs="Arial"/>
                <w:sz w:val="20"/>
                <w:szCs w:val="20"/>
              </w:rPr>
              <w:t>RV</w:t>
            </w:r>
            <w:r w:rsidRPr="00E30C6F">
              <w:rPr>
                <w:rFonts w:ascii="Arial" w:eastAsia="Calibri" w:hAnsi="Arial" w:cs="Arial"/>
                <w:sz w:val="20"/>
                <w:szCs w:val="20"/>
                <w:vertAlign w:val="subscript"/>
              </w:rPr>
              <w:t>S,n</w:t>
            </w:r>
            <w:proofErr w:type="spellEnd"/>
            <w:r w:rsidRPr="00E30C6F">
              <w:rPr>
                <w:rFonts w:ascii="Arial" w:eastAsia="Calibri" w:hAnsi="Arial" w:cs="Arial"/>
                <w:sz w:val="20"/>
                <w:szCs w:val="20"/>
              </w:rPr>
              <w:t xml:space="preserve">) </w:t>
            </w:r>
          </w:p>
        </w:tc>
        <w:tc>
          <w:tcPr>
            <w:tcW w:w="1414" w:type="dxa"/>
            <w:vAlign w:val="center"/>
          </w:tcPr>
          <w:p w:rsidR="00E30C6F" w:rsidRPr="00E30C6F" w:rsidRDefault="00E30C6F" w:rsidP="00E30C6F">
            <w:pPr>
              <w:jc w:val="center"/>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Fraction</w:t>
            </w:r>
          </w:p>
        </w:tc>
        <w:tc>
          <w:tcPr>
            <w:tcW w:w="7800" w:type="dxa"/>
            <w:vAlign w:val="center"/>
          </w:tcPr>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Animal Manure Management- GHG mitigation – CDM methodologies</w:t>
            </w:r>
          </w:p>
        </w:tc>
      </w:tr>
      <w:tr w:rsidR="00E30C6F" w:rsidRPr="00E30C6F" w:rsidTr="005F469B">
        <w:tc>
          <w:tcPr>
            <w:tcW w:w="1384" w:type="dxa"/>
            <w:vMerge/>
          </w:tcPr>
          <w:p w:rsidR="00E30C6F" w:rsidRPr="00E30C6F" w:rsidRDefault="00E30C6F" w:rsidP="00E30C6F">
            <w:pPr>
              <w:rPr>
                <w:rFonts w:ascii="Arial" w:eastAsia="Times New Roman" w:hAnsi="Arial" w:cs="Arial"/>
                <w:bCs/>
                <w:sz w:val="20"/>
                <w:szCs w:val="20"/>
                <w:highlight w:val="yellow"/>
                <w:lang w:val="en-GB"/>
              </w:rPr>
            </w:pPr>
          </w:p>
        </w:tc>
        <w:tc>
          <w:tcPr>
            <w:tcW w:w="3620" w:type="dxa"/>
            <w:vAlign w:val="center"/>
          </w:tcPr>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Calibri" w:hAnsi="Arial" w:cs="Arial"/>
                <w:sz w:val="20"/>
                <w:szCs w:val="20"/>
              </w:rPr>
              <w:t>N2O emission factors (direct and indirect emissions), EF</w:t>
            </w:r>
            <w:r w:rsidRPr="00E30C6F">
              <w:rPr>
                <w:rFonts w:ascii="Arial" w:eastAsia="Calibri" w:hAnsi="Arial" w:cs="Arial"/>
                <w:sz w:val="20"/>
                <w:szCs w:val="20"/>
                <w:vertAlign w:val="subscript"/>
              </w:rPr>
              <w:t xml:space="preserve">N2O, </w:t>
            </w:r>
            <w:proofErr w:type="spellStart"/>
            <w:r w:rsidRPr="00E30C6F">
              <w:rPr>
                <w:rFonts w:ascii="Arial" w:eastAsia="Calibri" w:hAnsi="Arial" w:cs="Arial"/>
                <w:sz w:val="20"/>
                <w:szCs w:val="20"/>
                <w:vertAlign w:val="subscript"/>
              </w:rPr>
              <w:t>D,j</w:t>
            </w:r>
            <w:proofErr w:type="spellEnd"/>
            <w:r w:rsidRPr="00E30C6F">
              <w:rPr>
                <w:rFonts w:ascii="Arial" w:eastAsia="Calibri" w:hAnsi="Arial" w:cs="Arial"/>
                <w:sz w:val="20"/>
                <w:szCs w:val="20"/>
                <w:vertAlign w:val="subscript"/>
              </w:rPr>
              <w:t>,</w:t>
            </w:r>
            <w:r w:rsidRPr="00E30C6F">
              <w:rPr>
                <w:rFonts w:ascii="Arial" w:eastAsia="Calibri" w:hAnsi="Arial" w:cs="Arial"/>
                <w:sz w:val="20"/>
                <w:szCs w:val="20"/>
              </w:rPr>
              <w:t xml:space="preserve"> EF</w:t>
            </w:r>
            <w:r w:rsidRPr="00E30C6F">
              <w:rPr>
                <w:rFonts w:ascii="Arial" w:eastAsia="Calibri" w:hAnsi="Arial" w:cs="Arial"/>
                <w:sz w:val="20"/>
                <w:szCs w:val="20"/>
                <w:vertAlign w:val="subscript"/>
              </w:rPr>
              <w:t>N2O,ID,j</w:t>
            </w:r>
          </w:p>
        </w:tc>
        <w:tc>
          <w:tcPr>
            <w:tcW w:w="1414" w:type="dxa"/>
            <w:vAlign w:val="center"/>
          </w:tcPr>
          <w:p w:rsidR="00E30C6F" w:rsidRPr="00E30C6F" w:rsidRDefault="00E30C6F" w:rsidP="00E30C6F">
            <w:pPr>
              <w:jc w:val="center"/>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kg N2O-N/ kg N and kg N</w:t>
            </w:r>
            <w:r w:rsidRPr="00E30C6F">
              <w:rPr>
                <w:rFonts w:ascii="Arial" w:eastAsia="Times New Roman" w:hAnsi="Arial" w:cs="Arial"/>
                <w:bCs/>
                <w:sz w:val="20"/>
                <w:szCs w:val="20"/>
                <w:vertAlign w:val="subscript"/>
                <w:lang w:val="en-GB"/>
              </w:rPr>
              <w:t>2</w:t>
            </w:r>
            <w:r w:rsidRPr="00E30C6F">
              <w:rPr>
                <w:rFonts w:ascii="Arial" w:eastAsia="Times New Roman" w:hAnsi="Arial" w:cs="Arial"/>
                <w:bCs/>
                <w:sz w:val="20"/>
                <w:szCs w:val="20"/>
                <w:lang w:val="en-GB"/>
              </w:rPr>
              <w:t>O-N/ kg NH</w:t>
            </w:r>
            <w:r w:rsidRPr="00E30C6F">
              <w:rPr>
                <w:rFonts w:ascii="Arial" w:eastAsia="Times New Roman" w:hAnsi="Arial" w:cs="Arial"/>
                <w:bCs/>
                <w:sz w:val="20"/>
                <w:szCs w:val="20"/>
                <w:vertAlign w:val="subscript"/>
                <w:lang w:val="en-GB"/>
              </w:rPr>
              <w:t>3</w:t>
            </w:r>
            <w:r w:rsidRPr="00E30C6F">
              <w:rPr>
                <w:rFonts w:ascii="Arial" w:eastAsia="Times New Roman" w:hAnsi="Arial" w:cs="Arial"/>
                <w:bCs/>
                <w:sz w:val="20"/>
                <w:szCs w:val="20"/>
                <w:lang w:val="en-GB"/>
              </w:rPr>
              <w:t>-N and NO</w:t>
            </w:r>
            <w:r w:rsidRPr="00E30C6F">
              <w:rPr>
                <w:rFonts w:ascii="Arial" w:eastAsia="Times New Roman" w:hAnsi="Arial" w:cs="Arial"/>
                <w:bCs/>
                <w:sz w:val="20"/>
                <w:szCs w:val="20"/>
                <w:vertAlign w:val="subscript"/>
                <w:lang w:val="en-GB"/>
              </w:rPr>
              <w:t>X</w:t>
            </w:r>
            <w:r w:rsidRPr="00E30C6F">
              <w:rPr>
                <w:rFonts w:ascii="Arial" w:eastAsia="Times New Roman" w:hAnsi="Arial" w:cs="Arial"/>
                <w:bCs/>
                <w:sz w:val="20"/>
                <w:szCs w:val="20"/>
                <w:lang w:val="en-GB"/>
              </w:rPr>
              <w:t>-N</w:t>
            </w:r>
          </w:p>
        </w:tc>
        <w:tc>
          <w:tcPr>
            <w:tcW w:w="7800" w:type="dxa"/>
            <w:vAlign w:val="center"/>
          </w:tcPr>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Default values in IPCC 2006 Guidelines may be used because country specific or region-specific data are not available</w:t>
            </w:r>
          </w:p>
        </w:tc>
      </w:tr>
      <w:tr w:rsidR="00E30C6F" w:rsidRPr="00E30C6F" w:rsidTr="005F469B">
        <w:tc>
          <w:tcPr>
            <w:tcW w:w="1384" w:type="dxa"/>
            <w:vMerge/>
          </w:tcPr>
          <w:p w:rsidR="00E30C6F" w:rsidRPr="00E30C6F" w:rsidRDefault="00E30C6F" w:rsidP="00E30C6F">
            <w:pPr>
              <w:rPr>
                <w:rFonts w:ascii="Arial" w:eastAsia="Times New Roman" w:hAnsi="Arial" w:cs="Arial"/>
                <w:bCs/>
                <w:sz w:val="20"/>
                <w:szCs w:val="20"/>
                <w:highlight w:val="yellow"/>
                <w:lang w:val="en-GB"/>
              </w:rPr>
            </w:pPr>
          </w:p>
        </w:tc>
        <w:tc>
          <w:tcPr>
            <w:tcW w:w="3620" w:type="dxa"/>
            <w:vAlign w:val="center"/>
          </w:tcPr>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Fraction of N lost due to volatilization,</w:t>
            </w:r>
            <w:r w:rsidRPr="00E30C6F">
              <w:rPr>
                <w:rFonts w:ascii="Arial" w:eastAsia="Calibri" w:hAnsi="Arial" w:cs="Arial"/>
                <w:sz w:val="20"/>
                <w:szCs w:val="20"/>
              </w:rPr>
              <w:t xml:space="preserve"> </w:t>
            </w:r>
            <w:proofErr w:type="spellStart"/>
            <w:r w:rsidRPr="00E30C6F">
              <w:rPr>
                <w:rFonts w:ascii="Arial" w:eastAsia="Times New Roman" w:hAnsi="Arial" w:cs="Arial"/>
                <w:bCs/>
                <w:sz w:val="20"/>
                <w:szCs w:val="20"/>
                <w:lang w:val="en-GB"/>
              </w:rPr>
              <w:t>F</w:t>
            </w:r>
            <w:r w:rsidRPr="00E30C6F">
              <w:rPr>
                <w:rFonts w:ascii="Arial" w:eastAsia="Times New Roman" w:hAnsi="Arial" w:cs="Arial"/>
                <w:bCs/>
                <w:sz w:val="20"/>
                <w:szCs w:val="20"/>
                <w:vertAlign w:val="subscript"/>
                <w:lang w:val="en-GB"/>
              </w:rPr>
              <w:t>gasm</w:t>
            </w:r>
            <w:proofErr w:type="spellEnd"/>
          </w:p>
        </w:tc>
        <w:tc>
          <w:tcPr>
            <w:tcW w:w="1414" w:type="dxa"/>
            <w:vAlign w:val="center"/>
          </w:tcPr>
          <w:p w:rsidR="00E30C6F" w:rsidRPr="00E30C6F" w:rsidRDefault="00E30C6F" w:rsidP="00E30C6F">
            <w:pPr>
              <w:jc w:val="center"/>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Fraction</w:t>
            </w:r>
          </w:p>
        </w:tc>
        <w:tc>
          <w:tcPr>
            <w:tcW w:w="7800"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Default values in IPCC 2006 Guidelines may be used because country</w:t>
            </w:r>
          </w:p>
          <w:p w:rsidR="00E30C6F" w:rsidRPr="00E30C6F" w:rsidRDefault="00E30C6F" w:rsidP="00E30C6F">
            <w:pPr>
              <w:jc w:val="both"/>
              <w:rPr>
                <w:rFonts w:ascii="Arial" w:eastAsia="Times New Roman" w:hAnsi="Arial" w:cs="Arial"/>
                <w:bCs/>
                <w:sz w:val="20"/>
                <w:szCs w:val="20"/>
                <w:highlight w:val="yellow"/>
                <w:lang w:val="en-GB"/>
              </w:rPr>
            </w:pPr>
            <w:proofErr w:type="gramStart"/>
            <w:r w:rsidRPr="00E30C6F">
              <w:rPr>
                <w:rFonts w:ascii="Arial" w:eastAsia="Times New Roman" w:hAnsi="Arial" w:cs="Arial"/>
                <w:bCs/>
                <w:sz w:val="20"/>
                <w:szCs w:val="20"/>
                <w:lang w:val="en-GB"/>
              </w:rPr>
              <w:t>specific</w:t>
            </w:r>
            <w:proofErr w:type="gramEnd"/>
            <w:r w:rsidRPr="00E30C6F">
              <w:rPr>
                <w:rFonts w:ascii="Arial" w:eastAsia="Times New Roman" w:hAnsi="Arial" w:cs="Arial"/>
                <w:bCs/>
                <w:sz w:val="20"/>
                <w:szCs w:val="20"/>
                <w:lang w:val="en-GB"/>
              </w:rPr>
              <w:t xml:space="preserve"> or region-specific data are not available.</w:t>
            </w:r>
          </w:p>
        </w:tc>
      </w:tr>
      <w:tr w:rsidR="00E30C6F" w:rsidRPr="00E30C6F" w:rsidTr="005F469B">
        <w:tc>
          <w:tcPr>
            <w:tcW w:w="1384" w:type="dxa"/>
            <w:vMerge/>
          </w:tcPr>
          <w:p w:rsidR="00E30C6F" w:rsidRPr="00E30C6F" w:rsidRDefault="00E30C6F" w:rsidP="00E30C6F">
            <w:pPr>
              <w:rPr>
                <w:rFonts w:ascii="Arial" w:eastAsia="Times New Roman" w:hAnsi="Arial" w:cs="Arial"/>
                <w:bCs/>
                <w:sz w:val="20"/>
                <w:szCs w:val="20"/>
                <w:highlight w:val="yellow"/>
                <w:lang w:val="en-GB"/>
              </w:rPr>
            </w:pPr>
          </w:p>
        </w:tc>
        <w:tc>
          <w:tcPr>
            <w:tcW w:w="3620" w:type="dxa"/>
            <w:vAlign w:val="center"/>
          </w:tcPr>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N2O emission factor from soil and runoff water (EF)</w:t>
            </w:r>
          </w:p>
        </w:tc>
        <w:tc>
          <w:tcPr>
            <w:tcW w:w="1414" w:type="dxa"/>
            <w:vAlign w:val="center"/>
          </w:tcPr>
          <w:p w:rsidR="00E30C6F" w:rsidRPr="00E30C6F" w:rsidRDefault="00E30C6F" w:rsidP="00E30C6F">
            <w:pPr>
              <w:jc w:val="center"/>
              <w:rPr>
                <w:rFonts w:ascii="Arial" w:eastAsia="Times New Roman" w:hAnsi="Arial" w:cs="Arial"/>
                <w:bCs/>
                <w:sz w:val="20"/>
                <w:szCs w:val="20"/>
                <w:highlight w:val="yellow"/>
                <w:lang w:val="en-GB"/>
              </w:rPr>
            </w:pPr>
            <w:r w:rsidRPr="00E30C6F">
              <w:rPr>
                <w:rFonts w:ascii="Arial" w:eastAsia="Calibri" w:hAnsi="Arial" w:cs="Arial"/>
                <w:sz w:val="20"/>
                <w:szCs w:val="20"/>
              </w:rPr>
              <w:t>kg N</w:t>
            </w:r>
            <w:r w:rsidRPr="00E30C6F">
              <w:rPr>
                <w:rFonts w:ascii="Arial" w:eastAsia="Calibri" w:hAnsi="Arial" w:cs="Arial"/>
                <w:sz w:val="20"/>
                <w:szCs w:val="20"/>
                <w:vertAlign w:val="subscript"/>
              </w:rPr>
              <w:t>2</w:t>
            </w:r>
            <w:r w:rsidRPr="00E30C6F">
              <w:rPr>
                <w:rFonts w:ascii="Arial" w:eastAsia="Calibri" w:hAnsi="Arial" w:cs="Arial"/>
                <w:sz w:val="20"/>
                <w:szCs w:val="20"/>
              </w:rPr>
              <w:t>O-N/ kg N for EF</w:t>
            </w:r>
          </w:p>
        </w:tc>
        <w:tc>
          <w:tcPr>
            <w:tcW w:w="7800"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Default values in IPCC 2006 Guidelines may be used because country</w:t>
            </w:r>
          </w:p>
          <w:p w:rsidR="00E30C6F" w:rsidRPr="00E30C6F" w:rsidRDefault="00E30C6F" w:rsidP="00E30C6F">
            <w:pPr>
              <w:jc w:val="both"/>
              <w:rPr>
                <w:rFonts w:ascii="Arial" w:eastAsia="Times New Roman" w:hAnsi="Arial" w:cs="Arial"/>
                <w:bCs/>
                <w:sz w:val="20"/>
                <w:szCs w:val="20"/>
                <w:highlight w:val="yellow"/>
                <w:lang w:val="en-GB"/>
              </w:rPr>
            </w:pPr>
            <w:proofErr w:type="gramStart"/>
            <w:r w:rsidRPr="00E30C6F">
              <w:rPr>
                <w:rFonts w:ascii="Arial" w:eastAsia="Times New Roman" w:hAnsi="Arial" w:cs="Arial"/>
                <w:bCs/>
                <w:sz w:val="20"/>
                <w:szCs w:val="20"/>
                <w:lang w:val="en-GB"/>
              </w:rPr>
              <w:t>specific</w:t>
            </w:r>
            <w:proofErr w:type="gramEnd"/>
            <w:r w:rsidRPr="00E30C6F">
              <w:rPr>
                <w:rFonts w:ascii="Arial" w:eastAsia="Times New Roman" w:hAnsi="Arial" w:cs="Arial"/>
                <w:bCs/>
                <w:sz w:val="20"/>
                <w:szCs w:val="20"/>
                <w:lang w:val="en-GB"/>
              </w:rPr>
              <w:t xml:space="preserve"> or region-specific data are not available.</w:t>
            </w:r>
          </w:p>
        </w:tc>
      </w:tr>
      <w:tr w:rsidR="00E30C6F" w:rsidRPr="00E30C6F" w:rsidTr="005F469B">
        <w:tc>
          <w:tcPr>
            <w:tcW w:w="1384" w:type="dxa"/>
            <w:vMerge/>
          </w:tcPr>
          <w:p w:rsidR="00E30C6F" w:rsidRPr="00E30C6F" w:rsidRDefault="00E30C6F" w:rsidP="00E30C6F">
            <w:pPr>
              <w:rPr>
                <w:rFonts w:ascii="Arial" w:eastAsia="Times New Roman" w:hAnsi="Arial" w:cs="Arial"/>
                <w:bCs/>
                <w:sz w:val="20"/>
                <w:szCs w:val="20"/>
                <w:highlight w:val="yellow"/>
                <w:lang w:val="en-GB"/>
              </w:rPr>
            </w:pPr>
          </w:p>
        </w:tc>
        <w:tc>
          <w:tcPr>
            <w:tcW w:w="3620" w:type="dxa"/>
            <w:vAlign w:val="center"/>
          </w:tcPr>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Methane conversion factor for leakage calculation assumed to be equal to 1 (</w:t>
            </w:r>
            <w:proofErr w:type="spellStart"/>
            <w:r w:rsidRPr="00E30C6F">
              <w:rPr>
                <w:rFonts w:ascii="Arial" w:eastAsia="Times New Roman" w:hAnsi="Arial" w:cs="Arial"/>
                <w:bCs/>
                <w:sz w:val="20"/>
                <w:szCs w:val="20"/>
                <w:lang w:val="en-GB"/>
              </w:rPr>
              <w:t>MCFd</w:t>
            </w:r>
            <w:proofErr w:type="spellEnd"/>
            <w:r w:rsidRPr="00E30C6F">
              <w:rPr>
                <w:rFonts w:ascii="Arial" w:eastAsia="Times New Roman" w:hAnsi="Arial" w:cs="Arial"/>
                <w:bCs/>
                <w:sz w:val="20"/>
                <w:szCs w:val="20"/>
                <w:lang w:val="en-GB"/>
              </w:rPr>
              <w:t>)</w:t>
            </w:r>
          </w:p>
        </w:tc>
        <w:tc>
          <w:tcPr>
            <w:tcW w:w="1414" w:type="dxa"/>
            <w:vAlign w:val="center"/>
          </w:tcPr>
          <w:p w:rsidR="00E30C6F" w:rsidRPr="00E30C6F" w:rsidRDefault="00E30C6F" w:rsidP="00E30C6F">
            <w:pPr>
              <w:jc w:val="center"/>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t/m</w:t>
            </w:r>
            <w:r w:rsidRPr="00E30C6F">
              <w:rPr>
                <w:rFonts w:ascii="Arial" w:eastAsia="Times New Roman" w:hAnsi="Arial" w:cs="Arial"/>
                <w:bCs/>
                <w:sz w:val="20"/>
                <w:szCs w:val="20"/>
                <w:vertAlign w:val="superscript"/>
                <w:lang w:val="en-GB"/>
              </w:rPr>
              <w:t>3</w:t>
            </w:r>
          </w:p>
        </w:tc>
        <w:tc>
          <w:tcPr>
            <w:tcW w:w="7800" w:type="dxa"/>
            <w:vAlign w:val="center"/>
          </w:tcPr>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CDM methodologies ACM 0010</w:t>
            </w:r>
          </w:p>
        </w:tc>
      </w:tr>
      <w:tr w:rsidR="00E30C6F" w:rsidRPr="00E30C6F" w:rsidTr="005F469B">
        <w:tc>
          <w:tcPr>
            <w:tcW w:w="1384" w:type="dxa"/>
            <w:vMerge/>
          </w:tcPr>
          <w:p w:rsidR="00E30C6F" w:rsidRPr="00E30C6F" w:rsidRDefault="00E30C6F" w:rsidP="00E30C6F">
            <w:pPr>
              <w:rPr>
                <w:rFonts w:ascii="Arial" w:eastAsia="Times New Roman" w:hAnsi="Arial" w:cs="Arial"/>
                <w:bCs/>
                <w:sz w:val="20"/>
                <w:szCs w:val="20"/>
                <w:highlight w:val="yellow"/>
                <w:lang w:val="en-GB"/>
              </w:rPr>
            </w:pPr>
          </w:p>
        </w:tc>
        <w:tc>
          <w:tcPr>
            <w:tcW w:w="3620" w:type="dxa"/>
            <w:vAlign w:val="center"/>
          </w:tcPr>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 xml:space="preserve">Amount of biogas collected at the </w:t>
            </w:r>
            <w:r w:rsidRPr="00E30C6F">
              <w:rPr>
                <w:rFonts w:ascii="Arial" w:eastAsia="Times New Roman" w:hAnsi="Arial" w:cs="Arial"/>
                <w:bCs/>
                <w:sz w:val="20"/>
                <w:szCs w:val="20"/>
                <w:lang w:val="en-GB"/>
              </w:rPr>
              <w:lastRenderedPageBreak/>
              <w:t>digester outlet in year y (</w:t>
            </w:r>
            <w:proofErr w:type="spellStart"/>
            <w:r w:rsidRPr="00E30C6F">
              <w:rPr>
                <w:rFonts w:ascii="Arial" w:eastAsia="Times New Roman" w:hAnsi="Arial" w:cs="Arial"/>
                <w:bCs/>
                <w:sz w:val="20"/>
                <w:szCs w:val="20"/>
                <w:lang w:val="en-GB"/>
              </w:rPr>
              <w:t>Q</w:t>
            </w:r>
            <w:r w:rsidRPr="00E30C6F">
              <w:rPr>
                <w:rFonts w:ascii="Arial" w:eastAsia="Times New Roman" w:hAnsi="Arial" w:cs="Arial"/>
                <w:bCs/>
                <w:sz w:val="20"/>
                <w:szCs w:val="20"/>
                <w:vertAlign w:val="subscript"/>
                <w:lang w:val="en-GB"/>
              </w:rPr>
              <w:t>biogas,y</w:t>
            </w:r>
            <w:proofErr w:type="spellEnd"/>
            <w:r w:rsidRPr="00E30C6F">
              <w:rPr>
                <w:rFonts w:ascii="Arial" w:eastAsia="Times New Roman" w:hAnsi="Arial" w:cs="Arial"/>
                <w:bCs/>
                <w:sz w:val="20"/>
                <w:szCs w:val="20"/>
                <w:lang w:val="en-GB"/>
              </w:rPr>
              <w:t>)</w:t>
            </w:r>
          </w:p>
        </w:tc>
        <w:tc>
          <w:tcPr>
            <w:tcW w:w="1414" w:type="dxa"/>
            <w:vAlign w:val="center"/>
          </w:tcPr>
          <w:p w:rsidR="00E30C6F" w:rsidRPr="00E30C6F" w:rsidRDefault="00E30C6F" w:rsidP="00E30C6F">
            <w:pPr>
              <w:jc w:val="center"/>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lastRenderedPageBreak/>
              <w:t>Nm</w:t>
            </w:r>
            <w:r w:rsidRPr="00E30C6F">
              <w:rPr>
                <w:rFonts w:ascii="Arial" w:eastAsia="Times New Roman" w:hAnsi="Arial" w:cs="Arial"/>
                <w:bCs/>
                <w:sz w:val="20"/>
                <w:szCs w:val="20"/>
                <w:vertAlign w:val="superscript"/>
                <w:lang w:val="en-GB"/>
              </w:rPr>
              <w:t>3</w:t>
            </w:r>
            <w:r w:rsidRPr="00E30C6F">
              <w:rPr>
                <w:rFonts w:ascii="Arial" w:eastAsia="Times New Roman" w:hAnsi="Arial" w:cs="Arial"/>
                <w:bCs/>
                <w:sz w:val="20"/>
                <w:szCs w:val="20"/>
                <w:lang w:val="en-GB"/>
              </w:rPr>
              <w:t xml:space="preserve"> biogas</w:t>
            </w:r>
          </w:p>
        </w:tc>
        <w:tc>
          <w:tcPr>
            <w:tcW w:w="7800" w:type="dxa"/>
            <w:vAlign w:val="center"/>
          </w:tcPr>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 xml:space="preserve">The volumetric flow measurement should always refer to the actual pressure and </w:t>
            </w:r>
            <w:r w:rsidRPr="00E30C6F">
              <w:rPr>
                <w:rFonts w:ascii="Arial" w:eastAsia="Times New Roman" w:hAnsi="Arial" w:cs="Arial"/>
                <w:bCs/>
                <w:sz w:val="20"/>
                <w:szCs w:val="20"/>
                <w:lang w:val="en-GB"/>
              </w:rPr>
              <w:lastRenderedPageBreak/>
              <w:t>temperature. Instruments with recordable electronic signal (analogical or digital) are required</w:t>
            </w:r>
          </w:p>
        </w:tc>
      </w:tr>
      <w:tr w:rsidR="00E30C6F" w:rsidRPr="00E30C6F" w:rsidTr="005F469B">
        <w:tc>
          <w:tcPr>
            <w:tcW w:w="1384" w:type="dxa"/>
            <w:vMerge/>
          </w:tcPr>
          <w:p w:rsidR="00E30C6F" w:rsidRPr="00E30C6F" w:rsidRDefault="00E30C6F" w:rsidP="00E30C6F">
            <w:pPr>
              <w:rPr>
                <w:rFonts w:ascii="Arial" w:eastAsia="Times New Roman" w:hAnsi="Arial" w:cs="Arial"/>
                <w:bCs/>
                <w:sz w:val="20"/>
                <w:szCs w:val="20"/>
                <w:highlight w:val="yellow"/>
                <w:lang w:val="en-GB"/>
              </w:rPr>
            </w:pPr>
          </w:p>
        </w:tc>
        <w:tc>
          <w:tcPr>
            <w:tcW w:w="3620"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 xml:space="preserve">Average chemical oxygen demand (COD) of the liquid </w:t>
            </w:r>
            <w:proofErr w:type="spellStart"/>
            <w:r w:rsidRPr="00E30C6F">
              <w:rPr>
                <w:rFonts w:ascii="Arial" w:eastAsia="Times New Roman" w:hAnsi="Arial" w:cs="Arial"/>
                <w:bCs/>
                <w:sz w:val="20"/>
                <w:szCs w:val="20"/>
                <w:lang w:val="en-GB"/>
              </w:rPr>
              <w:t>digestate</w:t>
            </w:r>
            <w:proofErr w:type="spellEnd"/>
            <w:r w:rsidRPr="00E30C6F">
              <w:rPr>
                <w:rFonts w:ascii="Arial" w:eastAsia="Times New Roman" w:hAnsi="Arial" w:cs="Arial"/>
                <w:bCs/>
                <w:sz w:val="20"/>
                <w:szCs w:val="20"/>
                <w:lang w:val="en-GB"/>
              </w:rPr>
              <w:t xml:space="preserve"> in</w:t>
            </w:r>
          </w:p>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year y (</w:t>
            </w:r>
            <w:proofErr w:type="spellStart"/>
            <w:r w:rsidRPr="00E30C6F">
              <w:rPr>
                <w:rFonts w:ascii="Arial" w:eastAsia="Times New Roman" w:hAnsi="Arial" w:cs="Arial"/>
                <w:bCs/>
                <w:sz w:val="20"/>
                <w:szCs w:val="20"/>
                <w:lang w:val="en-GB"/>
              </w:rPr>
              <w:t>PCOD,y</w:t>
            </w:r>
            <w:proofErr w:type="spellEnd"/>
            <w:r w:rsidRPr="00E30C6F">
              <w:rPr>
                <w:rFonts w:ascii="Arial" w:eastAsia="Times New Roman" w:hAnsi="Arial" w:cs="Arial"/>
                <w:bCs/>
                <w:sz w:val="20"/>
                <w:szCs w:val="20"/>
                <w:lang w:val="en-GB"/>
              </w:rPr>
              <w:t>)</w:t>
            </w:r>
          </w:p>
        </w:tc>
        <w:tc>
          <w:tcPr>
            <w:tcW w:w="1414" w:type="dxa"/>
            <w:vAlign w:val="center"/>
          </w:tcPr>
          <w:p w:rsidR="00E30C6F" w:rsidRPr="00E30C6F" w:rsidRDefault="00E30C6F" w:rsidP="00E30C6F">
            <w:pPr>
              <w:jc w:val="center"/>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t COD / m</w:t>
            </w:r>
            <w:r w:rsidRPr="00E30C6F">
              <w:rPr>
                <w:rFonts w:ascii="Arial" w:eastAsia="Times New Roman" w:hAnsi="Arial" w:cs="Arial"/>
                <w:bCs/>
                <w:sz w:val="20"/>
                <w:szCs w:val="20"/>
                <w:vertAlign w:val="superscript"/>
                <w:lang w:val="en-GB"/>
              </w:rPr>
              <w:t>3</w:t>
            </w:r>
          </w:p>
        </w:tc>
        <w:tc>
          <w:tcPr>
            <w:tcW w:w="7800" w:type="dxa"/>
            <w:vAlign w:val="center"/>
          </w:tcPr>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Samples should be collected based on the “2005 Standard Methods for the Examination of Water and Wastewater, 21st. American Public Health Association, Water Environment Federation and American Water Works Association” or any other equivalent national or international standard</w:t>
            </w:r>
          </w:p>
        </w:tc>
      </w:tr>
      <w:tr w:rsidR="00E30C6F" w:rsidRPr="00E30C6F" w:rsidTr="005F469B">
        <w:tc>
          <w:tcPr>
            <w:tcW w:w="1384" w:type="dxa"/>
            <w:vMerge/>
          </w:tcPr>
          <w:p w:rsidR="00E30C6F" w:rsidRPr="00E30C6F" w:rsidRDefault="00E30C6F" w:rsidP="00E30C6F">
            <w:pPr>
              <w:rPr>
                <w:rFonts w:ascii="Arial" w:eastAsia="Times New Roman" w:hAnsi="Arial" w:cs="Arial"/>
                <w:bCs/>
                <w:sz w:val="20"/>
                <w:szCs w:val="20"/>
                <w:highlight w:val="yellow"/>
                <w:lang w:val="en-GB"/>
              </w:rPr>
            </w:pPr>
          </w:p>
        </w:tc>
        <w:tc>
          <w:tcPr>
            <w:tcW w:w="3620" w:type="dxa"/>
            <w:vAlign w:val="center"/>
          </w:tcPr>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 xml:space="preserve">Amount of liquid </w:t>
            </w:r>
            <w:proofErr w:type="spellStart"/>
            <w:r w:rsidRPr="00E30C6F">
              <w:rPr>
                <w:rFonts w:ascii="Arial" w:eastAsia="Times New Roman" w:hAnsi="Arial" w:cs="Arial"/>
                <w:bCs/>
                <w:sz w:val="20"/>
                <w:szCs w:val="20"/>
                <w:lang w:val="en-GB"/>
              </w:rPr>
              <w:t>digestate</w:t>
            </w:r>
            <w:proofErr w:type="spellEnd"/>
            <w:r w:rsidRPr="00E30C6F">
              <w:rPr>
                <w:rFonts w:ascii="Arial" w:eastAsia="Times New Roman" w:hAnsi="Arial" w:cs="Arial"/>
                <w:bCs/>
                <w:sz w:val="20"/>
                <w:szCs w:val="20"/>
                <w:lang w:val="en-GB"/>
              </w:rPr>
              <w:t xml:space="preserve"> stored anaerobically in year y (</w:t>
            </w:r>
            <w:proofErr w:type="spellStart"/>
            <w:r w:rsidRPr="00E30C6F">
              <w:rPr>
                <w:rFonts w:ascii="Arial" w:eastAsia="Times New Roman" w:hAnsi="Arial" w:cs="Arial"/>
                <w:bCs/>
                <w:sz w:val="20"/>
                <w:szCs w:val="20"/>
                <w:lang w:val="en-GB"/>
              </w:rPr>
              <w:t>Qstored,y</w:t>
            </w:r>
            <w:proofErr w:type="spellEnd"/>
            <w:r w:rsidRPr="00E30C6F">
              <w:rPr>
                <w:rFonts w:ascii="Arial" w:eastAsia="Times New Roman" w:hAnsi="Arial" w:cs="Arial"/>
                <w:bCs/>
                <w:sz w:val="20"/>
                <w:szCs w:val="20"/>
                <w:lang w:val="en-GB"/>
              </w:rPr>
              <w:t>)</w:t>
            </w:r>
          </w:p>
        </w:tc>
        <w:tc>
          <w:tcPr>
            <w:tcW w:w="1414" w:type="dxa"/>
            <w:vAlign w:val="center"/>
          </w:tcPr>
          <w:p w:rsidR="00E30C6F" w:rsidRPr="00E30C6F" w:rsidRDefault="00E30C6F" w:rsidP="00E30C6F">
            <w:pPr>
              <w:jc w:val="center"/>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m</w:t>
            </w:r>
            <w:r w:rsidRPr="00E30C6F">
              <w:rPr>
                <w:rFonts w:ascii="Arial" w:eastAsia="Times New Roman" w:hAnsi="Arial" w:cs="Arial"/>
                <w:bCs/>
                <w:sz w:val="20"/>
                <w:szCs w:val="20"/>
                <w:vertAlign w:val="superscript"/>
                <w:lang w:val="en-GB"/>
              </w:rPr>
              <w:t>3</w:t>
            </w:r>
          </w:p>
        </w:tc>
        <w:tc>
          <w:tcPr>
            <w:tcW w:w="7800" w:type="dxa"/>
            <w:vAlign w:val="center"/>
          </w:tcPr>
          <w:p w:rsidR="00E30C6F" w:rsidRPr="00E30C6F" w:rsidRDefault="00E30C6F" w:rsidP="00E30C6F">
            <w:pPr>
              <w:jc w:val="both"/>
              <w:rPr>
                <w:rFonts w:ascii="Arial" w:eastAsia="Times New Roman" w:hAnsi="Arial" w:cs="Arial"/>
                <w:bCs/>
                <w:sz w:val="20"/>
                <w:szCs w:val="20"/>
                <w:highlight w:val="yellow"/>
                <w:lang w:val="en-GB"/>
              </w:rPr>
            </w:pPr>
            <w:r w:rsidRPr="00E30C6F">
              <w:rPr>
                <w:rFonts w:ascii="Arial" w:eastAsia="Times New Roman" w:hAnsi="Arial" w:cs="Arial"/>
                <w:bCs/>
                <w:sz w:val="20"/>
                <w:szCs w:val="20"/>
                <w:lang w:val="en-GB"/>
              </w:rPr>
              <w:t xml:space="preserve">Using flow meters - “Determining LE </w:t>
            </w:r>
            <w:r w:rsidRPr="00E30C6F">
              <w:rPr>
                <w:rFonts w:ascii="Arial" w:eastAsia="Times New Roman" w:hAnsi="Arial" w:cs="Arial"/>
                <w:bCs/>
                <w:sz w:val="20"/>
                <w:szCs w:val="20"/>
                <w:vertAlign w:val="subscript"/>
                <w:lang w:val="en-GB"/>
              </w:rPr>
              <w:t>storage, y</w:t>
            </w:r>
            <w:r w:rsidRPr="00E30C6F">
              <w:rPr>
                <w:rFonts w:ascii="Arial" w:eastAsia="Times New Roman" w:hAnsi="Arial" w:cs="Arial"/>
                <w:bCs/>
                <w:sz w:val="20"/>
                <w:szCs w:val="20"/>
                <w:lang w:val="en-GB"/>
              </w:rPr>
              <w:t xml:space="preserve"> for liquid </w:t>
            </w:r>
            <w:proofErr w:type="spellStart"/>
            <w:r w:rsidRPr="00E30C6F">
              <w:rPr>
                <w:rFonts w:ascii="Arial" w:eastAsia="Times New Roman" w:hAnsi="Arial" w:cs="Arial"/>
                <w:bCs/>
                <w:sz w:val="20"/>
                <w:szCs w:val="20"/>
                <w:lang w:val="en-GB"/>
              </w:rPr>
              <w:t>digestate</w:t>
            </w:r>
            <w:proofErr w:type="spellEnd"/>
            <w:r w:rsidRPr="00E30C6F">
              <w:rPr>
                <w:rFonts w:ascii="Arial" w:eastAsia="Times New Roman" w:hAnsi="Arial" w:cs="Arial"/>
                <w:bCs/>
                <w:sz w:val="20"/>
                <w:szCs w:val="20"/>
                <w:lang w:val="en-GB"/>
              </w:rPr>
              <w:t>”</w:t>
            </w:r>
          </w:p>
        </w:tc>
      </w:tr>
      <w:tr w:rsidR="00E30C6F" w:rsidRPr="00E30C6F" w:rsidTr="005F469B">
        <w:tc>
          <w:tcPr>
            <w:tcW w:w="1384" w:type="dxa"/>
            <w:vMerge/>
          </w:tcPr>
          <w:p w:rsidR="00E30C6F" w:rsidRPr="00E30C6F" w:rsidRDefault="00E30C6F" w:rsidP="00E30C6F">
            <w:pPr>
              <w:rPr>
                <w:rFonts w:ascii="Arial" w:eastAsia="Times New Roman" w:hAnsi="Arial" w:cs="Arial"/>
                <w:bCs/>
                <w:sz w:val="20"/>
                <w:szCs w:val="20"/>
                <w:highlight w:val="yellow"/>
                <w:lang w:val="en-GB"/>
              </w:rPr>
            </w:pPr>
          </w:p>
        </w:tc>
        <w:tc>
          <w:tcPr>
            <w:tcW w:w="3620"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Combined margin emission factor for the grid in year y (</w:t>
            </w:r>
            <w:proofErr w:type="spellStart"/>
            <w:r w:rsidRPr="00E30C6F">
              <w:rPr>
                <w:rFonts w:ascii="Arial" w:eastAsia="Times New Roman" w:hAnsi="Arial" w:cs="Arial"/>
                <w:bCs/>
                <w:sz w:val="20"/>
                <w:szCs w:val="20"/>
                <w:lang w:val="en-GB"/>
              </w:rPr>
              <w:t>EF</w:t>
            </w:r>
            <w:r w:rsidRPr="00E30C6F">
              <w:rPr>
                <w:rFonts w:ascii="Arial" w:eastAsia="Times New Roman" w:hAnsi="Arial" w:cs="Arial"/>
                <w:bCs/>
                <w:sz w:val="20"/>
                <w:szCs w:val="20"/>
                <w:vertAlign w:val="subscript"/>
                <w:lang w:val="en-GB"/>
              </w:rPr>
              <w:t>grid,CM,y</w:t>
            </w:r>
            <w:proofErr w:type="spellEnd"/>
            <w:r w:rsidRPr="00E30C6F">
              <w:rPr>
                <w:rFonts w:ascii="Arial" w:eastAsia="Times New Roman" w:hAnsi="Arial" w:cs="Arial"/>
                <w:bCs/>
                <w:sz w:val="20"/>
                <w:szCs w:val="20"/>
                <w:lang w:val="en-GB"/>
              </w:rPr>
              <w:t>)</w:t>
            </w:r>
          </w:p>
        </w:tc>
        <w:tc>
          <w:tcPr>
            <w:tcW w:w="1414"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t CO2/MWh</w:t>
            </w:r>
          </w:p>
        </w:tc>
        <w:tc>
          <w:tcPr>
            <w:tcW w:w="7800"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Calculate the combined margin emission factor, using the procedures in the latest approved version of the “Tool to calculate the emission factor for an electricity system”. As per the “Tool to calculate the emission factor for an electricity system”</w:t>
            </w:r>
          </w:p>
        </w:tc>
      </w:tr>
      <w:tr w:rsidR="00E30C6F" w:rsidRPr="00E30C6F" w:rsidTr="005F469B">
        <w:tc>
          <w:tcPr>
            <w:tcW w:w="1384" w:type="dxa"/>
            <w:vMerge/>
          </w:tcPr>
          <w:p w:rsidR="00E30C6F" w:rsidRPr="00E30C6F" w:rsidRDefault="00E30C6F" w:rsidP="00E30C6F">
            <w:pPr>
              <w:rPr>
                <w:rFonts w:ascii="Arial" w:eastAsia="Times New Roman" w:hAnsi="Arial" w:cs="Arial"/>
                <w:bCs/>
                <w:sz w:val="20"/>
                <w:szCs w:val="20"/>
                <w:highlight w:val="yellow"/>
                <w:lang w:val="en-GB"/>
              </w:rPr>
            </w:pPr>
          </w:p>
        </w:tc>
        <w:tc>
          <w:tcPr>
            <w:tcW w:w="3620"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Quantity of electricity generated and supplied by the project power</w:t>
            </w:r>
          </w:p>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plant to the grid in year y</w:t>
            </w:r>
          </w:p>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Quantity of electricity generated and supplied by the project power</w:t>
            </w:r>
          </w:p>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 xml:space="preserve">plant to the consumers/electricity consuming facility </w:t>
            </w:r>
            <w:proofErr w:type="spellStart"/>
            <w:r w:rsidRPr="00E30C6F">
              <w:rPr>
                <w:rFonts w:ascii="Arial" w:eastAsia="Times New Roman" w:hAnsi="Arial" w:cs="Arial"/>
                <w:bCs/>
                <w:sz w:val="20"/>
                <w:szCs w:val="20"/>
                <w:lang w:val="en-GB"/>
              </w:rPr>
              <w:t>i</w:t>
            </w:r>
            <w:proofErr w:type="spellEnd"/>
            <w:r w:rsidRPr="00E30C6F">
              <w:rPr>
                <w:rFonts w:ascii="Arial" w:eastAsia="Times New Roman" w:hAnsi="Arial" w:cs="Arial"/>
                <w:bCs/>
                <w:sz w:val="20"/>
                <w:szCs w:val="20"/>
                <w:lang w:val="en-GB"/>
              </w:rPr>
              <w:t xml:space="preserve"> in year y (</w:t>
            </w:r>
            <w:proofErr w:type="spellStart"/>
            <w:r w:rsidRPr="00E30C6F">
              <w:rPr>
                <w:rFonts w:ascii="Arial" w:eastAsia="Times New Roman" w:hAnsi="Arial" w:cs="Arial"/>
                <w:bCs/>
                <w:sz w:val="20"/>
                <w:szCs w:val="20"/>
                <w:lang w:val="en-GB"/>
              </w:rPr>
              <w:t>EG</w:t>
            </w:r>
            <w:r w:rsidRPr="00E30C6F">
              <w:rPr>
                <w:rFonts w:ascii="Arial" w:eastAsia="Times New Roman" w:hAnsi="Arial" w:cs="Arial"/>
                <w:bCs/>
                <w:sz w:val="20"/>
                <w:szCs w:val="20"/>
                <w:vertAlign w:val="subscript"/>
                <w:lang w:val="en-GB"/>
              </w:rPr>
              <w:t>PJ,grid,y</w:t>
            </w:r>
            <w:proofErr w:type="spellEnd"/>
            <w:r w:rsidRPr="00E30C6F">
              <w:rPr>
                <w:rFonts w:ascii="Arial" w:eastAsia="Times New Roman" w:hAnsi="Arial" w:cs="Arial"/>
                <w:bCs/>
                <w:sz w:val="20"/>
                <w:szCs w:val="20"/>
                <w:lang w:val="en-GB"/>
              </w:rPr>
              <w:t xml:space="preserve"> or </w:t>
            </w:r>
            <w:proofErr w:type="spellStart"/>
            <w:r w:rsidRPr="00E30C6F">
              <w:rPr>
                <w:rFonts w:ascii="Arial" w:eastAsia="Times New Roman" w:hAnsi="Arial" w:cs="Arial"/>
                <w:bCs/>
                <w:sz w:val="20"/>
                <w:szCs w:val="20"/>
                <w:lang w:val="en-GB"/>
              </w:rPr>
              <w:t>EG</w:t>
            </w:r>
            <w:r w:rsidRPr="00E30C6F">
              <w:rPr>
                <w:rFonts w:ascii="Arial" w:eastAsia="Times New Roman" w:hAnsi="Arial" w:cs="Arial"/>
                <w:bCs/>
                <w:sz w:val="20"/>
                <w:szCs w:val="20"/>
                <w:vertAlign w:val="subscript"/>
                <w:lang w:val="en-GB"/>
              </w:rPr>
              <w:t>PJ,facility,I,y</w:t>
            </w:r>
            <w:proofErr w:type="spellEnd"/>
            <w:r w:rsidRPr="00E30C6F">
              <w:rPr>
                <w:rFonts w:ascii="Arial" w:eastAsia="Times New Roman" w:hAnsi="Arial" w:cs="Arial"/>
                <w:bCs/>
                <w:sz w:val="20"/>
                <w:szCs w:val="20"/>
                <w:lang w:val="en-GB"/>
              </w:rPr>
              <w:t>)</w:t>
            </w:r>
          </w:p>
        </w:tc>
        <w:tc>
          <w:tcPr>
            <w:tcW w:w="1414"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MWh/</w:t>
            </w:r>
            <w:proofErr w:type="spellStart"/>
            <w:r w:rsidRPr="00E30C6F">
              <w:rPr>
                <w:rFonts w:ascii="Arial" w:eastAsia="Times New Roman" w:hAnsi="Arial" w:cs="Arial"/>
                <w:bCs/>
                <w:sz w:val="20"/>
                <w:szCs w:val="20"/>
                <w:lang w:val="en-GB"/>
              </w:rPr>
              <w:t>yr</w:t>
            </w:r>
            <w:proofErr w:type="spellEnd"/>
          </w:p>
        </w:tc>
        <w:tc>
          <w:tcPr>
            <w:tcW w:w="7800"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Direct measurement or calculated based on measurements from more than one electricity meters.</w:t>
            </w:r>
          </w:p>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[Use electricity meters installed at the grid interface for electricity export to grid and for supply to captive consumers use electricity meters installed at the entrance of the electricity consuming facility].</w:t>
            </w:r>
          </w:p>
        </w:tc>
      </w:tr>
      <w:tr w:rsidR="00E30C6F" w:rsidRPr="00E30C6F" w:rsidTr="005F469B">
        <w:tc>
          <w:tcPr>
            <w:tcW w:w="1384" w:type="dxa"/>
            <w:vMerge/>
          </w:tcPr>
          <w:p w:rsidR="00E30C6F" w:rsidRPr="00E30C6F" w:rsidRDefault="00E30C6F" w:rsidP="00E30C6F">
            <w:pPr>
              <w:rPr>
                <w:rFonts w:ascii="Arial" w:eastAsia="Times New Roman" w:hAnsi="Arial" w:cs="Arial"/>
                <w:bCs/>
                <w:sz w:val="20"/>
                <w:szCs w:val="20"/>
                <w:highlight w:val="yellow"/>
                <w:lang w:val="en-GB"/>
              </w:rPr>
            </w:pPr>
          </w:p>
        </w:tc>
        <w:tc>
          <w:tcPr>
            <w:tcW w:w="3620"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Oxidation factor (reflecting the amount of methane from SWDS that is</w:t>
            </w:r>
          </w:p>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oxidized in the soil or other material covering the waste) (OX)</w:t>
            </w:r>
          </w:p>
        </w:tc>
        <w:tc>
          <w:tcPr>
            <w:tcW w:w="1414"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0.1</w:t>
            </w:r>
          </w:p>
        </w:tc>
        <w:tc>
          <w:tcPr>
            <w:tcW w:w="7800"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Based on an extensive review of published literature on this subject,</w:t>
            </w:r>
          </w:p>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including the IPCC 2006 Guidelines for National Greenhouse Gas</w:t>
            </w:r>
          </w:p>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Inventories.</w:t>
            </w:r>
          </w:p>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 xml:space="preserve">When methane passes through the top-layer, part of it is oxidized by </w:t>
            </w:r>
            <w:proofErr w:type="spellStart"/>
            <w:r w:rsidRPr="00E30C6F">
              <w:rPr>
                <w:rFonts w:ascii="Arial" w:eastAsia="Times New Roman" w:hAnsi="Arial" w:cs="Arial"/>
                <w:bCs/>
                <w:sz w:val="20"/>
                <w:szCs w:val="20"/>
                <w:lang w:val="en-GB"/>
              </w:rPr>
              <w:t>methanotrophic</w:t>
            </w:r>
            <w:proofErr w:type="spellEnd"/>
            <w:r w:rsidRPr="00E30C6F">
              <w:rPr>
                <w:rFonts w:ascii="Arial" w:eastAsia="Times New Roman" w:hAnsi="Arial" w:cs="Arial"/>
                <w:bCs/>
                <w:sz w:val="20"/>
                <w:szCs w:val="20"/>
                <w:lang w:val="en-GB"/>
              </w:rPr>
              <w:t xml:space="preserve"> bacteria to produce CO2. The oxidation factor represents the proportion of methane that is oxidized to CO2 This should be distinguished from the methane correction factor (MCF) which is to account for the situation that ambient air might intrude into</w:t>
            </w:r>
          </w:p>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the SWDS and prevent methane from being formed in the upper layer of SWDS</w:t>
            </w:r>
          </w:p>
        </w:tc>
      </w:tr>
      <w:tr w:rsidR="00E30C6F" w:rsidRPr="00E30C6F" w:rsidTr="005F469B">
        <w:tc>
          <w:tcPr>
            <w:tcW w:w="1384" w:type="dxa"/>
            <w:vMerge/>
          </w:tcPr>
          <w:p w:rsidR="00E30C6F" w:rsidRPr="00E30C6F" w:rsidRDefault="00E30C6F" w:rsidP="00E30C6F">
            <w:pPr>
              <w:rPr>
                <w:rFonts w:ascii="Arial" w:eastAsia="Times New Roman" w:hAnsi="Arial" w:cs="Arial"/>
                <w:bCs/>
                <w:sz w:val="20"/>
                <w:szCs w:val="20"/>
                <w:highlight w:val="yellow"/>
                <w:lang w:val="en-GB"/>
              </w:rPr>
            </w:pPr>
          </w:p>
        </w:tc>
        <w:tc>
          <w:tcPr>
            <w:tcW w:w="3620"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Fraction of methane in the SWDS gas (volume fraction) [F]</w:t>
            </w:r>
          </w:p>
        </w:tc>
        <w:tc>
          <w:tcPr>
            <w:tcW w:w="1414"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0.5</w:t>
            </w:r>
          </w:p>
        </w:tc>
        <w:tc>
          <w:tcPr>
            <w:tcW w:w="7800"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IPCC 2006 Guidelines for National Greenhouse Gas Inventories [Upon biodegradation, organic material is converted to a mixture of</w:t>
            </w:r>
          </w:p>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methane and carbon dioxide]</w:t>
            </w:r>
          </w:p>
        </w:tc>
      </w:tr>
      <w:tr w:rsidR="00E30C6F" w:rsidRPr="00E30C6F" w:rsidTr="005F469B">
        <w:tc>
          <w:tcPr>
            <w:tcW w:w="1384" w:type="dxa"/>
            <w:vMerge/>
          </w:tcPr>
          <w:p w:rsidR="00E30C6F" w:rsidRPr="00E30C6F" w:rsidRDefault="00E30C6F" w:rsidP="00E30C6F">
            <w:pPr>
              <w:rPr>
                <w:rFonts w:ascii="Arial" w:eastAsia="Times New Roman" w:hAnsi="Arial" w:cs="Arial"/>
                <w:bCs/>
                <w:sz w:val="20"/>
                <w:szCs w:val="20"/>
                <w:highlight w:val="yellow"/>
                <w:lang w:val="en-GB"/>
              </w:rPr>
            </w:pPr>
          </w:p>
        </w:tc>
        <w:tc>
          <w:tcPr>
            <w:tcW w:w="3620"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Methane correction factor (</w:t>
            </w:r>
            <w:proofErr w:type="spellStart"/>
            <w:r w:rsidRPr="00E30C6F">
              <w:rPr>
                <w:rFonts w:ascii="Arial" w:eastAsia="Times New Roman" w:hAnsi="Arial" w:cs="Arial"/>
                <w:bCs/>
                <w:sz w:val="20"/>
                <w:szCs w:val="20"/>
                <w:lang w:val="en-GB"/>
              </w:rPr>
              <w:t>MCF</w:t>
            </w:r>
            <w:r w:rsidRPr="00E30C6F">
              <w:rPr>
                <w:rFonts w:ascii="Arial" w:eastAsia="Times New Roman" w:hAnsi="Arial" w:cs="Arial"/>
                <w:bCs/>
                <w:sz w:val="20"/>
                <w:szCs w:val="20"/>
                <w:vertAlign w:val="subscript"/>
                <w:lang w:val="en-GB"/>
              </w:rPr>
              <w:t>default</w:t>
            </w:r>
            <w:proofErr w:type="spellEnd"/>
            <w:r w:rsidRPr="00E30C6F">
              <w:rPr>
                <w:rFonts w:ascii="Arial" w:eastAsia="Times New Roman" w:hAnsi="Arial" w:cs="Arial"/>
                <w:bCs/>
                <w:sz w:val="20"/>
                <w:szCs w:val="20"/>
                <w:lang w:val="en-GB"/>
              </w:rPr>
              <w:t>)</w:t>
            </w:r>
          </w:p>
        </w:tc>
        <w:tc>
          <w:tcPr>
            <w:tcW w:w="1414"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w:t>
            </w:r>
          </w:p>
        </w:tc>
        <w:tc>
          <w:tcPr>
            <w:tcW w:w="7800"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IPCC 2006 Guidelines for National Greenhouse Gas Inventories</w:t>
            </w:r>
          </w:p>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[MCF accounts for the fact that unmanaged SWDS produce less methane from a given amount of waste than managed SWDS, because a larger fraction of waste decomposes aerobically in the top layers of unmanaged SWDS. In case of a water table above the bottom of the SWDS, a larger proportion of the SWDS is anaerobic]</w:t>
            </w:r>
          </w:p>
        </w:tc>
      </w:tr>
      <w:tr w:rsidR="00E30C6F" w:rsidRPr="00E30C6F" w:rsidTr="005F469B">
        <w:tc>
          <w:tcPr>
            <w:tcW w:w="1384" w:type="dxa"/>
            <w:vMerge/>
          </w:tcPr>
          <w:p w:rsidR="00E30C6F" w:rsidRPr="00E30C6F" w:rsidRDefault="00E30C6F" w:rsidP="00E30C6F">
            <w:pPr>
              <w:rPr>
                <w:rFonts w:ascii="Arial" w:eastAsia="Times New Roman" w:hAnsi="Arial" w:cs="Arial"/>
                <w:bCs/>
                <w:sz w:val="20"/>
                <w:szCs w:val="20"/>
                <w:highlight w:val="yellow"/>
                <w:lang w:val="en-GB"/>
              </w:rPr>
            </w:pPr>
          </w:p>
        </w:tc>
        <w:tc>
          <w:tcPr>
            <w:tcW w:w="3620"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Fraction of degradable organic carbon in the waste type j (weight</w:t>
            </w:r>
          </w:p>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lastRenderedPageBreak/>
              <w:t>fraction) (</w:t>
            </w:r>
            <w:proofErr w:type="spellStart"/>
            <w:r w:rsidRPr="00E30C6F">
              <w:rPr>
                <w:rFonts w:ascii="Arial" w:eastAsia="Times New Roman" w:hAnsi="Arial" w:cs="Arial"/>
                <w:bCs/>
                <w:sz w:val="20"/>
                <w:szCs w:val="20"/>
                <w:lang w:val="en-GB"/>
              </w:rPr>
              <w:t>DOCj</w:t>
            </w:r>
            <w:proofErr w:type="spellEnd"/>
            <w:r w:rsidRPr="00E30C6F">
              <w:rPr>
                <w:rFonts w:ascii="Arial" w:eastAsia="Times New Roman" w:hAnsi="Arial" w:cs="Arial"/>
                <w:bCs/>
                <w:sz w:val="20"/>
                <w:szCs w:val="20"/>
                <w:lang w:val="en-GB"/>
              </w:rPr>
              <w:t>)</w:t>
            </w:r>
          </w:p>
        </w:tc>
        <w:tc>
          <w:tcPr>
            <w:tcW w:w="1414"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lastRenderedPageBreak/>
              <w:t>-</w:t>
            </w:r>
          </w:p>
        </w:tc>
        <w:tc>
          <w:tcPr>
            <w:tcW w:w="7800"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IPCC 2006 Guidelines for National Greenhouse Gas Inventories</w:t>
            </w:r>
          </w:p>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(adapted from Volume 5, Tables 2.4 and 2.5)</w:t>
            </w:r>
          </w:p>
        </w:tc>
      </w:tr>
      <w:tr w:rsidR="00E30C6F" w:rsidRPr="00E30C6F" w:rsidTr="005F469B">
        <w:tc>
          <w:tcPr>
            <w:tcW w:w="1384" w:type="dxa"/>
            <w:vMerge/>
          </w:tcPr>
          <w:p w:rsidR="00E30C6F" w:rsidRPr="00E30C6F" w:rsidRDefault="00E30C6F" w:rsidP="00E30C6F">
            <w:pPr>
              <w:rPr>
                <w:rFonts w:ascii="Arial" w:eastAsia="Times New Roman" w:hAnsi="Arial" w:cs="Arial"/>
                <w:bCs/>
                <w:sz w:val="20"/>
                <w:szCs w:val="20"/>
                <w:highlight w:val="yellow"/>
                <w:lang w:val="en-GB"/>
              </w:rPr>
            </w:pPr>
          </w:p>
        </w:tc>
        <w:tc>
          <w:tcPr>
            <w:tcW w:w="3620"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Decay rate for the waste type j (</w:t>
            </w:r>
            <w:proofErr w:type="spellStart"/>
            <w:r w:rsidRPr="00E30C6F">
              <w:rPr>
                <w:rFonts w:ascii="Arial" w:eastAsia="Times New Roman" w:hAnsi="Arial" w:cs="Arial"/>
                <w:bCs/>
                <w:sz w:val="20"/>
                <w:szCs w:val="20"/>
                <w:lang w:val="en-GB"/>
              </w:rPr>
              <w:t>kj</w:t>
            </w:r>
            <w:proofErr w:type="spellEnd"/>
            <w:r w:rsidRPr="00E30C6F">
              <w:rPr>
                <w:rFonts w:ascii="Arial" w:eastAsia="Times New Roman" w:hAnsi="Arial" w:cs="Arial"/>
                <w:bCs/>
                <w:sz w:val="20"/>
                <w:szCs w:val="20"/>
                <w:lang w:val="en-GB"/>
              </w:rPr>
              <w:t>)</w:t>
            </w:r>
          </w:p>
        </w:tc>
        <w:tc>
          <w:tcPr>
            <w:tcW w:w="1414" w:type="dxa"/>
            <w:vAlign w:val="center"/>
          </w:tcPr>
          <w:p w:rsidR="00E30C6F" w:rsidRPr="00E30C6F" w:rsidRDefault="00E30C6F" w:rsidP="00E30C6F">
            <w:pPr>
              <w:jc w:val="center"/>
              <w:rPr>
                <w:rFonts w:ascii="Arial" w:eastAsia="Times New Roman" w:hAnsi="Arial" w:cs="Arial"/>
                <w:bCs/>
                <w:sz w:val="20"/>
                <w:szCs w:val="20"/>
                <w:lang w:val="en-GB"/>
              </w:rPr>
            </w:pPr>
            <w:r w:rsidRPr="00E30C6F">
              <w:rPr>
                <w:rFonts w:ascii="Arial" w:eastAsia="Times New Roman" w:hAnsi="Arial" w:cs="Arial"/>
                <w:bCs/>
                <w:sz w:val="20"/>
                <w:szCs w:val="20"/>
                <w:lang w:val="en-GB"/>
              </w:rPr>
              <w:t>1/</w:t>
            </w:r>
            <w:proofErr w:type="spellStart"/>
            <w:r w:rsidRPr="00E30C6F">
              <w:rPr>
                <w:rFonts w:ascii="Arial" w:eastAsia="Times New Roman" w:hAnsi="Arial" w:cs="Arial"/>
                <w:bCs/>
                <w:sz w:val="20"/>
                <w:szCs w:val="20"/>
                <w:lang w:val="en-GB"/>
              </w:rPr>
              <w:t>yr</w:t>
            </w:r>
            <w:proofErr w:type="spellEnd"/>
          </w:p>
        </w:tc>
        <w:tc>
          <w:tcPr>
            <w:tcW w:w="7800" w:type="dxa"/>
            <w:vAlign w:val="center"/>
          </w:tcPr>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IPCC 2006 Guidelines for National Greenhouse Gas Inventories</w:t>
            </w:r>
          </w:p>
          <w:p w:rsidR="00E30C6F" w:rsidRPr="00E30C6F" w:rsidRDefault="00E30C6F" w:rsidP="00E30C6F">
            <w:pPr>
              <w:jc w:val="both"/>
              <w:rPr>
                <w:rFonts w:ascii="Arial" w:eastAsia="Times New Roman" w:hAnsi="Arial" w:cs="Arial"/>
                <w:bCs/>
                <w:sz w:val="20"/>
                <w:szCs w:val="20"/>
                <w:lang w:val="en-GB"/>
              </w:rPr>
            </w:pPr>
            <w:r w:rsidRPr="00E30C6F">
              <w:rPr>
                <w:rFonts w:ascii="Arial" w:eastAsia="Times New Roman" w:hAnsi="Arial" w:cs="Arial"/>
                <w:bCs/>
                <w:sz w:val="20"/>
                <w:szCs w:val="20"/>
                <w:lang w:val="en-GB"/>
              </w:rPr>
              <w:t>(adapted from Volume 5, Table 3.3)</w:t>
            </w:r>
          </w:p>
        </w:tc>
      </w:tr>
    </w:tbl>
    <w:p w:rsidR="00E30C6F" w:rsidRPr="00E30C6F" w:rsidRDefault="00E30C6F">
      <w:pPr>
        <w:rPr>
          <w:lang w:val="en-US"/>
        </w:rPr>
      </w:pPr>
    </w:p>
    <w:sectPr w:rsidR="00E30C6F" w:rsidRPr="00E30C6F" w:rsidSect="00E30C6F">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C1D53"/>
    <w:multiLevelType w:val="hybridMultilevel"/>
    <w:tmpl w:val="7680A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6F"/>
    <w:rsid w:val="00074E85"/>
    <w:rsid w:val="00553397"/>
    <w:rsid w:val="00C256B4"/>
    <w:rsid w:val="00E30C6F"/>
    <w:rsid w:val="00E533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ZM Table Grid"/>
    <w:basedOn w:val="TableNormal"/>
    <w:uiPriority w:val="59"/>
    <w:rsid w:val="00E30C6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ZM Table Grid"/>
    <w:basedOn w:val="TableNormal"/>
    <w:uiPriority w:val="59"/>
    <w:rsid w:val="00E30C6F"/>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FE7AF24C04954491C86467E44D5D3F" ma:contentTypeVersion="1" ma:contentTypeDescription="Create a new document." ma:contentTypeScope="" ma:versionID="a2d20bfa859f81238ec0f30d82f64af7">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A809D6-6A11-43EC-9F7A-E5C5B2EF1775}"/>
</file>

<file path=customXml/itemProps2.xml><?xml version="1.0" encoding="utf-8"?>
<ds:datastoreItem xmlns:ds="http://schemas.openxmlformats.org/officeDocument/2006/customXml" ds:itemID="{145FD307-6D4C-4F2E-B29C-1F50957DE034}"/>
</file>

<file path=customXml/itemProps3.xml><?xml version="1.0" encoding="utf-8"?>
<ds:datastoreItem xmlns:ds="http://schemas.openxmlformats.org/officeDocument/2006/customXml" ds:itemID="{9F530EE1-7465-4032-90EB-07C8A64A7E11}"/>
</file>

<file path=docProps/app.xml><?xml version="1.0" encoding="utf-8"?>
<Properties xmlns="http://schemas.openxmlformats.org/officeDocument/2006/extended-properties" xmlns:vt="http://schemas.openxmlformats.org/officeDocument/2006/docPropsVTypes">
  <Template>Normal</Template>
  <TotalTime>6</TotalTime>
  <Pages>7</Pages>
  <Words>2349</Words>
  <Characters>12924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2021-07-07T08:42:00Z</dcterms:created>
  <dcterms:modified xsi:type="dcterms:W3CDTF">2021-07-07T08:49:00Z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0x01010081FE7AF24C04954491C86467E44D5D3F</vt:lpwstr>
  </property>
</Properties>
</file>