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1C5EE" w14:textId="77777777" w:rsidR="00312C74" w:rsidRPr="001731CE" w:rsidRDefault="00194B06" w:rsidP="00AA4E74">
      <w:pPr>
        <w:framePr w:w="6841" w:h="898" w:hSpace="180" w:wrap="around" w:vAnchor="text" w:hAnchor="page" w:x="3601" w:y="-356"/>
        <w:shd w:val="clear" w:color="auto" w:fill="FFFFFF"/>
        <w:autoSpaceDE w:val="0"/>
        <w:autoSpaceDN w:val="0"/>
        <w:adjustRightInd w:val="0"/>
        <w:ind w:right="-900"/>
        <w:rPr>
          <w:b/>
          <w:bCs/>
          <w:caps/>
          <w:color w:val="000000"/>
          <w:sz w:val="30"/>
          <w:szCs w:val="30"/>
        </w:rPr>
      </w:pPr>
      <w:bookmarkStart w:id="0" w:name="_GoBack"/>
      <w:bookmarkEnd w:id="0"/>
      <w:r w:rsidRPr="001731CE">
        <w:rPr>
          <w:b/>
          <w:bCs/>
          <w:caps/>
          <w:color w:val="000000"/>
          <w:sz w:val="30"/>
          <w:szCs w:val="30"/>
        </w:rPr>
        <w:t>GEF-</w:t>
      </w:r>
      <w:r w:rsidR="00177312" w:rsidRPr="001731CE">
        <w:rPr>
          <w:b/>
          <w:bCs/>
          <w:caps/>
          <w:color w:val="000000"/>
          <w:sz w:val="30"/>
          <w:szCs w:val="30"/>
        </w:rPr>
        <w:t>7</w:t>
      </w:r>
      <w:r w:rsidRPr="001731CE">
        <w:rPr>
          <w:b/>
          <w:bCs/>
          <w:caps/>
          <w:color w:val="000000"/>
          <w:sz w:val="30"/>
          <w:szCs w:val="30"/>
        </w:rPr>
        <w:t xml:space="preserve"> </w:t>
      </w:r>
      <w:r w:rsidR="009822C9" w:rsidRPr="001731CE">
        <w:rPr>
          <w:b/>
          <w:bCs/>
          <w:caps/>
          <w:color w:val="000000"/>
          <w:sz w:val="30"/>
          <w:szCs w:val="30"/>
        </w:rPr>
        <w:t>Project Identification Form</w:t>
      </w:r>
      <w:r w:rsidR="009D3C35" w:rsidRPr="001731CE">
        <w:rPr>
          <w:b/>
          <w:bCs/>
          <w:caps/>
          <w:color w:val="000000"/>
          <w:sz w:val="30"/>
          <w:szCs w:val="30"/>
        </w:rPr>
        <w:t xml:space="preserve"> (PIF)</w:t>
      </w:r>
      <w:r w:rsidR="005B5C1D" w:rsidRPr="001731CE">
        <w:rPr>
          <w:rStyle w:val="FootnoteReference"/>
          <w:b/>
          <w:bCs/>
          <w:caps/>
          <w:color w:val="000000"/>
          <w:sz w:val="30"/>
          <w:szCs w:val="30"/>
        </w:rPr>
        <w:t xml:space="preserve"> </w:t>
      </w:r>
    </w:p>
    <w:p w14:paraId="4DC31E97" w14:textId="77777777" w:rsidR="009822C9" w:rsidRPr="001731CE" w:rsidRDefault="00FF3B3C" w:rsidP="00AA4E74">
      <w:pPr>
        <w:framePr w:w="6841" w:h="898" w:hSpace="180" w:wrap="around" w:vAnchor="text" w:hAnchor="page" w:x="3601" w:y="-356"/>
        <w:shd w:val="clear" w:color="auto" w:fill="FFFFFF"/>
        <w:autoSpaceDE w:val="0"/>
        <w:autoSpaceDN w:val="0"/>
        <w:adjustRightInd w:val="0"/>
        <w:rPr>
          <w:bCs/>
          <w:color w:val="000000"/>
          <w:sz w:val="20"/>
          <w:szCs w:val="20"/>
        </w:rPr>
      </w:pPr>
      <w:bookmarkStart w:id="1" w:name="Dropdown7"/>
      <w:r w:rsidRPr="001731CE">
        <w:rPr>
          <w:b/>
          <w:bCs/>
          <w:smallCaps/>
          <w:color w:val="000000"/>
          <w:sz w:val="20"/>
          <w:szCs w:val="20"/>
        </w:rPr>
        <w:t xml:space="preserve">Project Type: </w:t>
      </w:r>
      <w:bookmarkEnd w:id="1"/>
      <w:r w:rsidR="003E6856">
        <w:rPr>
          <w:b/>
          <w:bCs/>
          <w:smallCaps/>
          <w:color w:val="000000"/>
          <w:sz w:val="20"/>
          <w:szCs w:val="20"/>
        </w:rPr>
        <w:fldChar w:fldCharType="begin">
          <w:ffData>
            <w:name w:val="projectType"/>
            <w:enabled/>
            <w:calcOnExit w:val="0"/>
            <w:ddList>
              <w:listEntry w:val="Medium-sized Project"/>
              <w:listEntry w:val="(choose project type)"/>
              <w:listEntry w:val="Full-sized Project"/>
            </w:ddList>
          </w:ffData>
        </w:fldChar>
      </w:r>
      <w:bookmarkStart w:id="2" w:name="projectType"/>
      <w:r w:rsidR="003E6856">
        <w:rPr>
          <w:b/>
          <w:bCs/>
          <w:smallCaps/>
          <w:color w:val="000000"/>
          <w:sz w:val="20"/>
          <w:szCs w:val="20"/>
        </w:rPr>
        <w:instrText xml:space="preserve"> FORMDROPDOWN </w:instrText>
      </w:r>
      <w:r w:rsidR="00A755A1">
        <w:rPr>
          <w:b/>
          <w:bCs/>
          <w:smallCaps/>
          <w:color w:val="000000"/>
          <w:sz w:val="20"/>
          <w:szCs w:val="20"/>
        </w:rPr>
      </w:r>
      <w:r w:rsidR="00A755A1">
        <w:rPr>
          <w:b/>
          <w:bCs/>
          <w:smallCaps/>
          <w:color w:val="000000"/>
          <w:sz w:val="20"/>
          <w:szCs w:val="20"/>
        </w:rPr>
        <w:fldChar w:fldCharType="separate"/>
      </w:r>
      <w:r w:rsidR="003E6856">
        <w:rPr>
          <w:b/>
          <w:bCs/>
          <w:smallCaps/>
          <w:color w:val="000000"/>
          <w:sz w:val="20"/>
          <w:szCs w:val="20"/>
        </w:rPr>
        <w:fldChar w:fldCharType="end"/>
      </w:r>
      <w:bookmarkEnd w:id="2"/>
      <w:r w:rsidR="008F6AE7" w:rsidRPr="001731CE">
        <w:rPr>
          <w:bCs/>
          <w:smallCaps/>
          <w:color w:val="000000"/>
          <w:sz w:val="20"/>
          <w:szCs w:val="20"/>
        </w:rPr>
        <w:t xml:space="preserve"> </w:t>
      </w:r>
    </w:p>
    <w:p w14:paraId="51796C9B" w14:textId="77777777" w:rsidR="00FD42D8" w:rsidRPr="001731CE" w:rsidRDefault="00FD42D8" w:rsidP="00AA4E74">
      <w:pPr>
        <w:framePr w:w="6841" w:h="898" w:hSpace="180" w:wrap="around" w:vAnchor="text" w:hAnchor="page" w:x="3601" w:y="-356"/>
        <w:shd w:val="clear" w:color="auto" w:fill="FFFFFF"/>
        <w:autoSpaceDE w:val="0"/>
        <w:autoSpaceDN w:val="0"/>
        <w:adjustRightInd w:val="0"/>
        <w:rPr>
          <w:b/>
          <w:bCs/>
          <w:color w:val="000000"/>
          <w:sz w:val="20"/>
          <w:szCs w:val="20"/>
        </w:rPr>
      </w:pPr>
      <w:r w:rsidRPr="001731CE">
        <w:rPr>
          <w:b/>
          <w:bCs/>
          <w:smallCaps/>
          <w:color w:val="000000"/>
          <w:sz w:val="20"/>
          <w:szCs w:val="20"/>
        </w:rPr>
        <w:t>Type of Trust Fund:</w:t>
      </w:r>
      <w:r w:rsidR="003E6856">
        <w:rPr>
          <w:b/>
          <w:bCs/>
          <w:smallCaps/>
          <w:color w:val="000000"/>
          <w:sz w:val="20"/>
          <w:szCs w:val="20"/>
        </w:rPr>
        <w:fldChar w:fldCharType="begin">
          <w:ffData>
            <w:name w:val="TFType"/>
            <w:enabled/>
            <w:calcOnExit w:val="0"/>
            <w:ddList>
              <w:listEntry w:val="GEF Trust Fund"/>
              <w:listEntry w:val="(choose fund type)"/>
              <w:listEntry w:val="Multi-Trust Fund"/>
              <w:listEntry w:val="Least Developed Countries Fund"/>
              <w:listEntry w:val="Special Climate Change Fund"/>
            </w:ddList>
          </w:ffData>
        </w:fldChar>
      </w:r>
      <w:bookmarkStart w:id="3" w:name="TFType"/>
      <w:r w:rsidR="003E6856">
        <w:rPr>
          <w:b/>
          <w:bCs/>
          <w:smallCaps/>
          <w:color w:val="000000"/>
          <w:sz w:val="20"/>
          <w:szCs w:val="20"/>
        </w:rPr>
        <w:instrText xml:space="preserve"> FORMDROPDOWN </w:instrText>
      </w:r>
      <w:r w:rsidR="00A755A1">
        <w:rPr>
          <w:b/>
          <w:bCs/>
          <w:smallCaps/>
          <w:color w:val="000000"/>
          <w:sz w:val="20"/>
          <w:szCs w:val="20"/>
        </w:rPr>
      </w:r>
      <w:r w:rsidR="00A755A1">
        <w:rPr>
          <w:b/>
          <w:bCs/>
          <w:smallCaps/>
          <w:color w:val="000000"/>
          <w:sz w:val="20"/>
          <w:szCs w:val="20"/>
        </w:rPr>
        <w:fldChar w:fldCharType="separate"/>
      </w:r>
      <w:r w:rsidR="003E6856">
        <w:rPr>
          <w:b/>
          <w:bCs/>
          <w:smallCaps/>
          <w:color w:val="000000"/>
          <w:sz w:val="20"/>
          <w:szCs w:val="20"/>
        </w:rPr>
        <w:fldChar w:fldCharType="end"/>
      </w:r>
      <w:bookmarkEnd w:id="3"/>
    </w:p>
    <w:p w14:paraId="3A4869C6" w14:textId="0AC309FA" w:rsidR="001259DC" w:rsidRDefault="000140FC" w:rsidP="00AA4E74">
      <w:pPr>
        <w:pStyle w:val="Footer"/>
        <w:shd w:val="clear" w:color="auto" w:fill="FFFFFF"/>
        <w:tabs>
          <w:tab w:val="clear" w:pos="4320"/>
          <w:tab w:val="clear" w:pos="8640"/>
        </w:tabs>
        <w:rPr>
          <w:b/>
          <w:caps/>
          <w:color w:val="000000"/>
          <w:sz w:val="22"/>
          <w:szCs w:val="22"/>
          <w:u w:val="single"/>
        </w:rPr>
      </w:pPr>
      <w:r w:rsidRPr="001731CE">
        <w:rPr>
          <w:noProof/>
          <w:color w:val="000000"/>
          <w:sz w:val="20"/>
          <w:szCs w:val="20"/>
          <w:lang w:val="en-US" w:eastAsia="en-US"/>
        </w:rPr>
        <w:drawing>
          <wp:anchor distT="0" distB="0" distL="114300" distR="114300" simplePos="0" relativeHeight="251657728" behindDoc="0" locked="0" layoutInCell="1" allowOverlap="1" wp14:anchorId="64D80BEB" wp14:editId="39A59A86">
            <wp:simplePos x="0" y="0"/>
            <wp:positionH relativeFrom="column">
              <wp:posOffset>123825</wp:posOffset>
            </wp:positionH>
            <wp:positionV relativeFrom="paragraph">
              <wp:posOffset>0</wp:posOffset>
            </wp:positionV>
            <wp:extent cx="723900" cy="741680"/>
            <wp:effectExtent l="0" t="0" r="0" b="0"/>
            <wp:wrapSquare wrapText="bothSides"/>
            <wp:docPr id="19" name="Picture 1" descr="GEF-newlogo-sho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F-newlogo-short"/>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41680"/>
                    </a:xfrm>
                    <a:prstGeom prst="rect">
                      <a:avLst/>
                    </a:prstGeom>
                    <a:noFill/>
                  </pic:spPr>
                </pic:pic>
              </a:graphicData>
            </a:graphic>
            <wp14:sizeRelH relativeFrom="page">
              <wp14:pctWidth>0</wp14:pctWidth>
            </wp14:sizeRelH>
            <wp14:sizeRelV relativeFrom="page">
              <wp14:pctHeight>0</wp14:pctHeight>
            </wp14:sizeRelV>
          </wp:anchor>
        </w:drawing>
      </w:r>
    </w:p>
    <w:p w14:paraId="070EA740" w14:textId="77777777" w:rsidR="001259DC" w:rsidRDefault="001259DC" w:rsidP="00AA4E74">
      <w:pPr>
        <w:pStyle w:val="Footer"/>
        <w:shd w:val="clear" w:color="auto" w:fill="FFFFFF"/>
        <w:tabs>
          <w:tab w:val="clear" w:pos="4320"/>
          <w:tab w:val="clear" w:pos="8640"/>
        </w:tabs>
        <w:rPr>
          <w:b/>
          <w:caps/>
          <w:color w:val="000000"/>
          <w:sz w:val="22"/>
          <w:szCs w:val="22"/>
          <w:u w:val="single"/>
        </w:rPr>
      </w:pPr>
    </w:p>
    <w:p w14:paraId="5832FF51" w14:textId="2D901003" w:rsidR="007D2C99" w:rsidRPr="001731CE" w:rsidRDefault="007D2C99" w:rsidP="00AA4E74">
      <w:pPr>
        <w:pStyle w:val="Footer"/>
        <w:shd w:val="clear" w:color="auto" w:fill="FFFFFF"/>
        <w:tabs>
          <w:tab w:val="clear" w:pos="4320"/>
          <w:tab w:val="clear" w:pos="8640"/>
        </w:tabs>
        <w:rPr>
          <w:b/>
          <w:caps/>
          <w:color w:val="000000"/>
          <w:sz w:val="22"/>
          <w:szCs w:val="22"/>
          <w:u w:val="single"/>
        </w:rPr>
      </w:pPr>
    </w:p>
    <w:p w14:paraId="3779A1B0" w14:textId="77777777" w:rsidR="000B13C8" w:rsidRPr="005875DD" w:rsidRDefault="000B13C8" w:rsidP="00816D87">
      <w:pPr>
        <w:pStyle w:val="GEFQuestion"/>
        <w:shd w:val="clear" w:color="auto" w:fill="FFFFFF"/>
        <w:rPr>
          <w:b/>
          <w:caps/>
          <w:color w:val="000000"/>
          <w:szCs w:val="22"/>
          <w:u w:val="single"/>
          <w:lang w:val="x-none" w:eastAsia="x-none"/>
        </w:rPr>
      </w:pPr>
      <w:r w:rsidRPr="005875DD">
        <w:rPr>
          <w:b/>
          <w:caps/>
          <w:color w:val="000000"/>
          <w:szCs w:val="22"/>
          <w:u w:val="single"/>
          <w:lang w:val="x-none" w:eastAsia="x-none"/>
        </w:rPr>
        <w:t xml:space="preserve">PART I: </w:t>
      </w:r>
      <w:bookmarkStart w:id="4" w:name="_Hlk513623811"/>
      <w:r w:rsidRPr="005875DD">
        <w:rPr>
          <w:b/>
          <w:caps/>
          <w:color w:val="000000"/>
          <w:szCs w:val="22"/>
          <w:u w:val="single"/>
          <w:lang w:val="x-none" w:eastAsia="x-none"/>
        </w:rPr>
        <w:t>Project</w:t>
      </w:r>
      <w:bookmarkEnd w:id="4"/>
      <w:r w:rsidRPr="005875DD">
        <w:rPr>
          <w:b/>
          <w:caps/>
          <w:color w:val="000000"/>
          <w:szCs w:val="22"/>
          <w:u w:val="single"/>
          <w:lang w:val="x-none" w:eastAsia="x-none"/>
        </w:rPr>
        <w:t xml:space="preserve"> I</w:t>
      </w:r>
      <w:r w:rsidR="00616D13" w:rsidRPr="005875DD">
        <w:rPr>
          <w:b/>
          <w:caps/>
          <w:color w:val="000000"/>
          <w:szCs w:val="22"/>
          <w:u w:val="single"/>
          <w:lang w:val="x-none" w:eastAsia="x-none"/>
        </w:rPr>
        <w:t>nformation</w:t>
      </w:r>
    </w:p>
    <w:tbl>
      <w:tblPr>
        <w:tblW w:w="521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3254"/>
        <w:gridCol w:w="2877"/>
        <w:gridCol w:w="1169"/>
      </w:tblGrid>
      <w:tr w:rsidR="00097611" w:rsidRPr="001731CE" w14:paraId="777870C7" w14:textId="77777777" w:rsidTr="00356C61">
        <w:tc>
          <w:tcPr>
            <w:tcW w:w="1359" w:type="pct"/>
          </w:tcPr>
          <w:p w14:paraId="503CBFEB" w14:textId="77777777" w:rsidR="00097611" w:rsidRPr="001731CE" w:rsidRDefault="00097611" w:rsidP="00AA4E74">
            <w:pPr>
              <w:shd w:val="clear" w:color="auto" w:fill="FFFFFF"/>
              <w:rPr>
                <w:color w:val="000000"/>
                <w:sz w:val="20"/>
                <w:szCs w:val="20"/>
              </w:rPr>
            </w:pPr>
            <w:r w:rsidRPr="001731CE">
              <w:rPr>
                <w:color w:val="000000"/>
                <w:sz w:val="20"/>
                <w:szCs w:val="20"/>
              </w:rPr>
              <w:t>Project Title:</w:t>
            </w:r>
          </w:p>
        </w:tc>
        <w:tc>
          <w:tcPr>
            <w:tcW w:w="3641" w:type="pct"/>
            <w:gridSpan w:val="3"/>
          </w:tcPr>
          <w:p w14:paraId="459B7230" w14:textId="77777777" w:rsidR="00097611" w:rsidRPr="001731CE" w:rsidRDefault="003E6856" w:rsidP="00AA4E74">
            <w:pPr>
              <w:shd w:val="clear" w:color="auto" w:fill="FFFFFF"/>
              <w:rPr>
                <w:color w:val="000000"/>
                <w:sz w:val="20"/>
                <w:szCs w:val="20"/>
              </w:rPr>
            </w:pPr>
            <w:r w:rsidRPr="003E6856">
              <w:rPr>
                <w:color w:val="000000"/>
                <w:sz w:val="20"/>
                <w:szCs w:val="20"/>
                <w:highlight w:val="lightGray"/>
              </w:rPr>
              <w:t xml:space="preserve">Strengthening the national </w:t>
            </w:r>
            <w:r w:rsidRPr="00711151">
              <w:rPr>
                <w:color w:val="000000"/>
                <w:sz w:val="20"/>
                <w:szCs w:val="20"/>
                <w:highlight w:val="lightGray"/>
              </w:rPr>
              <w:t>greenhouse gas inventory of the Republic of Mauritius to improve climate reporting and transparency</w:t>
            </w:r>
          </w:p>
        </w:tc>
      </w:tr>
      <w:tr w:rsidR="0064621B" w:rsidRPr="001731CE" w14:paraId="39E39DD4" w14:textId="77777777" w:rsidTr="00356C61">
        <w:tc>
          <w:tcPr>
            <w:tcW w:w="1359" w:type="pct"/>
          </w:tcPr>
          <w:p w14:paraId="628B7E39" w14:textId="77777777" w:rsidR="0064621B" w:rsidRPr="001731CE" w:rsidRDefault="0064621B" w:rsidP="00AA4E74">
            <w:pPr>
              <w:shd w:val="clear" w:color="auto" w:fill="FFFFFF"/>
              <w:rPr>
                <w:color w:val="000000"/>
                <w:sz w:val="20"/>
                <w:szCs w:val="20"/>
              </w:rPr>
            </w:pPr>
            <w:r w:rsidRPr="001731CE">
              <w:rPr>
                <w:color w:val="000000"/>
                <w:sz w:val="20"/>
                <w:szCs w:val="20"/>
              </w:rPr>
              <w:t>Country(</w:t>
            </w:r>
            <w:proofErr w:type="spellStart"/>
            <w:r w:rsidRPr="001731CE">
              <w:rPr>
                <w:color w:val="000000"/>
                <w:sz w:val="20"/>
                <w:szCs w:val="20"/>
              </w:rPr>
              <w:t>ies</w:t>
            </w:r>
            <w:proofErr w:type="spellEnd"/>
            <w:r w:rsidRPr="001731CE">
              <w:rPr>
                <w:color w:val="000000"/>
                <w:sz w:val="20"/>
                <w:szCs w:val="20"/>
              </w:rPr>
              <w:t>):</w:t>
            </w:r>
          </w:p>
        </w:tc>
        <w:tc>
          <w:tcPr>
            <w:tcW w:w="1623" w:type="pct"/>
          </w:tcPr>
          <w:p w14:paraId="1C763B55" w14:textId="77777777" w:rsidR="0064621B" w:rsidRPr="001731CE" w:rsidRDefault="003E6856" w:rsidP="00AA4E74">
            <w:pPr>
              <w:shd w:val="clear" w:color="auto" w:fill="FFFFFF"/>
              <w:rPr>
                <w:color w:val="000000"/>
                <w:sz w:val="20"/>
                <w:szCs w:val="20"/>
              </w:rPr>
            </w:pPr>
            <w:r w:rsidRPr="003E6856">
              <w:rPr>
                <w:color w:val="000000"/>
                <w:sz w:val="20"/>
                <w:szCs w:val="20"/>
                <w:highlight w:val="lightGray"/>
              </w:rPr>
              <w:t>Mauritius</w:t>
            </w:r>
          </w:p>
        </w:tc>
        <w:tc>
          <w:tcPr>
            <w:tcW w:w="1435" w:type="pct"/>
          </w:tcPr>
          <w:p w14:paraId="7ECEF18F" w14:textId="77777777" w:rsidR="0064621B" w:rsidRPr="001731CE" w:rsidRDefault="0064621B" w:rsidP="00AA4E74">
            <w:pPr>
              <w:shd w:val="clear" w:color="auto" w:fill="FFFFFF"/>
              <w:rPr>
                <w:color w:val="000000"/>
                <w:sz w:val="20"/>
                <w:szCs w:val="20"/>
              </w:rPr>
            </w:pPr>
            <w:bookmarkStart w:id="5" w:name="GEF_ID"/>
            <w:r w:rsidRPr="001731CE">
              <w:rPr>
                <w:color w:val="000000"/>
                <w:sz w:val="20"/>
                <w:szCs w:val="20"/>
              </w:rPr>
              <w:t>GEF Project ID</w:t>
            </w:r>
            <w:bookmarkEnd w:id="5"/>
            <w:r w:rsidRPr="001731CE">
              <w:rPr>
                <w:color w:val="000000"/>
                <w:sz w:val="20"/>
                <w:szCs w:val="20"/>
              </w:rPr>
              <w:t>:</w:t>
            </w:r>
          </w:p>
        </w:tc>
        <w:tc>
          <w:tcPr>
            <w:tcW w:w="582" w:type="pct"/>
          </w:tcPr>
          <w:p w14:paraId="6415F84D" w14:textId="36C6329D" w:rsidR="0064621B" w:rsidRPr="001731CE" w:rsidRDefault="004756AD" w:rsidP="00AA4E74">
            <w:pPr>
              <w:shd w:val="clear" w:color="auto" w:fill="FFFFFF"/>
              <w:rPr>
                <w:color w:val="000000"/>
                <w:sz w:val="20"/>
                <w:szCs w:val="20"/>
              </w:rPr>
            </w:pPr>
            <w:r>
              <w:rPr>
                <w:color w:val="000000"/>
                <w:sz w:val="20"/>
                <w:szCs w:val="20"/>
              </w:rPr>
              <w:t>6433</w:t>
            </w:r>
          </w:p>
        </w:tc>
      </w:tr>
      <w:tr w:rsidR="0064621B" w:rsidRPr="001731CE" w14:paraId="4EE365FB" w14:textId="77777777" w:rsidTr="00356C61">
        <w:tc>
          <w:tcPr>
            <w:tcW w:w="1359" w:type="pct"/>
          </w:tcPr>
          <w:p w14:paraId="6C2AB185" w14:textId="77777777" w:rsidR="0064621B" w:rsidRPr="001731CE" w:rsidRDefault="0064621B" w:rsidP="00AA4E74">
            <w:pPr>
              <w:shd w:val="clear" w:color="auto" w:fill="FFFFFF"/>
              <w:rPr>
                <w:color w:val="000000"/>
                <w:sz w:val="20"/>
                <w:szCs w:val="20"/>
              </w:rPr>
            </w:pPr>
            <w:r w:rsidRPr="001731CE">
              <w:rPr>
                <w:color w:val="000000"/>
                <w:sz w:val="20"/>
                <w:szCs w:val="20"/>
              </w:rPr>
              <w:t>GEF Agency(</w:t>
            </w:r>
            <w:proofErr w:type="spellStart"/>
            <w:r w:rsidRPr="001731CE">
              <w:rPr>
                <w:color w:val="000000"/>
                <w:sz w:val="20"/>
                <w:szCs w:val="20"/>
              </w:rPr>
              <w:t>ies</w:t>
            </w:r>
            <w:proofErr w:type="spellEnd"/>
            <w:r w:rsidRPr="001731CE">
              <w:rPr>
                <w:color w:val="000000"/>
                <w:sz w:val="20"/>
                <w:szCs w:val="20"/>
              </w:rPr>
              <w:t>):</w:t>
            </w:r>
          </w:p>
        </w:tc>
        <w:tc>
          <w:tcPr>
            <w:tcW w:w="1623" w:type="pct"/>
          </w:tcPr>
          <w:p w14:paraId="3CE91D8C" w14:textId="309FD185" w:rsidR="0064621B" w:rsidRPr="001731CE" w:rsidRDefault="003E6856" w:rsidP="00AA4E74">
            <w:pPr>
              <w:shd w:val="clear" w:color="auto" w:fill="FFFFFF"/>
              <w:rPr>
                <w:color w:val="000000"/>
                <w:sz w:val="20"/>
                <w:szCs w:val="20"/>
              </w:rPr>
            </w:pPr>
            <w:r>
              <w:rPr>
                <w:color w:val="000000"/>
                <w:sz w:val="20"/>
                <w:szCs w:val="20"/>
              </w:rPr>
              <w:fldChar w:fldCharType="begin">
                <w:ffData>
                  <w:name w:val="GEF_IA_01"/>
                  <w:enabled/>
                  <w:calcOnExit w:val="0"/>
                  <w:helpText w:type="text" w:val="GEF Agency(ies):  In the dropdown menu, select the GEF Agency.  For multi-agency projects, select the other agency(ies) from the other pull down menu that is also provided"/>
                  <w:ddList>
                    <w:listEntry w:val="UNDP"/>
                    <w:listEntry w:val="(select)"/>
                    <w:listEntry w:val="ADB"/>
                    <w:listEntry w:val="AfDB"/>
                    <w:listEntry w:val="CI"/>
                    <w:listEntry w:val="DBSA"/>
                    <w:listEntry w:val="EBRD"/>
                    <w:listEntry w:val="FAO"/>
                    <w:listEntry w:val="FUNBIO"/>
                    <w:listEntry w:val="IADB"/>
                    <w:listEntry w:val="IFAD"/>
                    <w:listEntry w:val="IUCN"/>
                    <w:listEntry w:val="UNEP"/>
                    <w:listEntry w:val="UNIDO"/>
                    <w:listEntry w:val="WB"/>
                    <w:listEntry w:val="WWF-US"/>
                    <w:listEntry w:val="FECO"/>
                    <w:listEntry w:val="CAF"/>
                    <w:listEntry w:val="BOAD"/>
                  </w:ddList>
                </w:ffData>
              </w:fldChar>
            </w:r>
            <w:bookmarkStart w:id="6" w:name="GEF_IA_01"/>
            <w:r>
              <w:rPr>
                <w:color w:val="000000"/>
                <w:sz w:val="20"/>
                <w:szCs w:val="20"/>
              </w:rPr>
              <w:instrText xml:space="preserve"> FORMDROPDOWN </w:instrText>
            </w:r>
            <w:r w:rsidR="00A755A1">
              <w:rPr>
                <w:color w:val="000000"/>
                <w:sz w:val="20"/>
                <w:szCs w:val="20"/>
              </w:rPr>
            </w:r>
            <w:r w:rsidR="00A755A1">
              <w:rPr>
                <w:color w:val="000000"/>
                <w:sz w:val="20"/>
                <w:szCs w:val="20"/>
              </w:rPr>
              <w:fldChar w:fldCharType="separate"/>
            </w:r>
            <w:r>
              <w:rPr>
                <w:color w:val="000000"/>
                <w:sz w:val="20"/>
                <w:szCs w:val="20"/>
              </w:rPr>
              <w:fldChar w:fldCharType="end"/>
            </w:r>
            <w:bookmarkEnd w:id="6"/>
            <w:r w:rsidR="00251DC7" w:rsidRPr="001731CE">
              <w:rPr>
                <w:color w:val="000000"/>
                <w:sz w:val="20"/>
                <w:szCs w:val="20"/>
              </w:rPr>
              <w:t xml:space="preserve">    </w:t>
            </w:r>
          </w:p>
        </w:tc>
        <w:tc>
          <w:tcPr>
            <w:tcW w:w="1435" w:type="pct"/>
          </w:tcPr>
          <w:p w14:paraId="561F62CB" w14:textId="77777777" w:rsidR="0064621B" w:rsidRPr="001731CE" w:rsidRDefault="0064621B" w:rsidP="00AA4E74">
            <w:pPr>
              <w:shd w:val="clear" w:color="auto" w:fill="FFFFFF"/>
              <w:rPr>
                <w:color w:val="000000"/>
                <w:sz w:val="20"/>
                <w:szCs w:val="20"/>
              </w:rPr>
            </w:pPr>
            <w:r w:rsidRPr="001731CE">
              <w:rPr>
                <w:color w:val="000000"/>
                <w:sz w:val="20"/>
                <w:szCs w:val="20"/>
              </w:rPr>
              <w:t>GEF Agency Project ID:</w:t>
            </w:r>
          </w:p>
        </w:tc>
        <w:tc>
          <w:tcPr>
            <w:tcW w:w="582" w:type="pct"/>
          </w:tcPr>
          <w:p w14:paraId="0D1DE4E9" w14:textId="77777777" w:rsidR="0064621B" w:rsidRPr="001731CE" w:rsidRDefault="0064621B" w:rsidP="00AA4E74">
            <w:pPr>
              <w:shd w:val="clear" w:color="auto" w:fill="FFFFFF"/>
              <w:rPr>
                <w:color w:val="000000"/>
                <w:sz w:val="20"/>
                <w:szCs w:val="20"/>
              </w:rPr>
            </w:pPr>
          </w:p>
        </w:tc>
      </w:tr>
      <w:tr w:rsidR="0064621B" w:rsidRPr="001731CE" w14:paraId="0D1708F0" w14:textId="77777777" w:rsidTr="00356C61">
        <w:tc>
          <w:tcPr>
            <w:tcW w:w="1359" w:type="pct"/>
          </w:tcPr>
          <w:p w14:paraId="04CC35E3" w14:textId="77777777" w:rsidR="0064621B" w:rsidRPr="001731CE" w:rsidRDefault="004825D4" w:rsidP="00AA4E74">
            <w:pPr>
              <w:shd w:val="clear" w:color="auto" w:fill="FFFFFF"/>
              <w:rPr>
                <w:color w:val="000000"/>
                <w:sz w:val="20"/>
                <w:szCs w:val="20"/>
              </w:rPr>
            </w:pPr>
            <w:r w:rsidRPr="001731CE">
              <w:rPr>
                <w:color w:val="000000"/>
                <w:sz w:val="20"/>
                <w:szCs w:val="20"/>
              </w:rPr>
              <w:t xml:space="preserve">Project Executing </w:t>
            </w:r>
            <w:r w:rsidR="00F75D7F" w:rsidRPr="001731CE">
              <w:rPr>
                <w:color w:val="000000"/>
                <w:sz w:val="20"/>
                <w:szCs w:val="20"/>
              </w:rPr>
              <w:t>Entity(s</w:t>
            </w:r>
            <w:r w:rsidRPr="001731CE">
              <w:rPr>
                <w:color w:val="000000"/>
                <w:sz w:val="20"/>
                <w:szCs w:val="20"/>
              </w:rPr>
              <w:t>):</w:t>
            </w:r>
          </w:p>
        </w:tc>
        <w:tc>
          <w:tcPr>
            <w:tcW w:w="1623" w:type="pct"/>
          </w:tcPr>
          <w:p w14:paraId="293C07EE" w14:textId="6B54C122" w:rsidR="0064621B" w:rsidRPr="001731CE" w:rsidRDefault="00ED03BE" w:rsidP="00AA4E74">
            <w:pPr>
              <w:shd w:val="clear" w:color="auto" w:fill="FFFFFF"/>
              <w:rPr>
                <w:color w:val="000000"/>
                <w:sz w:val="20"/>
                <w:szCs w:val="20"/>
              </w:rPr>
            </w:pPr>
            <w:r w:rsidRPr="00ED03BE">
              <w:rPr>
                <w:sz w:val="20"/>
                <w:szCs w:val="20"/>
              </w:rPr>
              <w:t>Ministry of Social Security, National Solidarity, and Environment and Sustainable Development</w:t>
            </w:r>
            <w:r w:rsidR="00A204F8">
              <w:rPr>
                <w:sz w:val="20"/>
                <w:szCs w:val="20"/>
              </w:rPr>
              <w:t xml:space="preserve"> (</w:t>
            </w:r>
            <w:proofErr w:type="spellStart"/>
            <w:r w:rsidR="00A204F8">
              <w:rPr>
                <w:sz w:val="20"/>
                <w:szCs w:val="20"/>
              </w:rPr>
              <w:t>MoSSNSESD</w:t>
            </w:r>
            <w:proofErr w:type="spellEnd"/>
            <w:r w:rsidR="00A204F8">
              <w:rPr>
                <w:sz w:val="20"/>
                <w:szCs w:val="20"/>
              </w:rPr>
              <w:t>)</w:t>
            </w:r>
          </w:p>
        </w:tc>
        <w:tc>
          <w:tcPr>
            <w:tcW w:w="1435" w:type="pct"/>
          </w:tcPr>
          <w:p w14:paraId="7F08ED5B" w14:textId="77777777" w:rsidR="0064621B" w:rsidRPr="001731CE" w:rsidRDefault="0064621B" w:rsidP="00AA4E74">
            <w:pPr>
              <w:shd w:val="clear" w:color="auto" w:fill="FFFFFF"/>
              <w:rPr>
                <w:color w:val="000000"/>
                <w:sz w:val="20"/>
                <w:szCs w:val="20"/>
              </w:rPr>
            </w:pPr>
            <w:r w:rsidRPr="001731CE">
              <w:rPr>
                <w:color w:val="000000"/>
                <w:sz w:val="20"/>
                <w:szCs w:val="20"/>
              </w:rPr>
              <w:t>Submission Date:</w:t>
            </w:r>
          </w:p>
        </w:tc>
        <w:tc>
          <w:tcPr>
            <w:tcW w:w="582" w:type="pct"/>
          </w:tcPr>
          <w:p w14:paraId="1486A93B" w14:textId="4297A0E9" w:rsidR="0064621B" w:rsidRPr="001731CE" w:rsidRDefault="00F423C5" w:rsidP="00AA4E74">
            <w:pPr>
              <w:shd w:val="clear" w:color="auto" w:fill="FFFFFF"/>
              <w:rPr>
                <w:color w:val="000000"/>
                <w:sz w:val="20"/>
                <w:szCs w:val="20"/>
              </w:rPr>
            </w:pPr>
            <w:r>
              <w:rPr>
                <w:color w:val="000000"/>
                <w:sz w:val="20"/>
                <w:szCs w:val="20"/>
              </w:rPr>
              <w:t>June 18</w:t>
            </w:r>
            <w:r w:rsidRPr="00F423C5">
              <w:rPr>
                <w:color w:val="000000"/>
                <w:sz w:val="20"/>
                <w:szCs w:val="20"/>
                <w:vertAlign w:val="superscript"/>
              </w:rPr>
              <w:t>th</w:t>
            </w:r>
            <w:r>
              <w:rPr>
                <w:color w:val="000000"/>
                <w:sz w:val="20"/>
                <w:szCs w:val="20"/>
              </w:rPr>
              <w:t>, 2019</w:t>
            </w:r>
          </w:p>
        </w:tc>
      </w:tr>
      <w:tr w:rsidR="0064621B" w:rsidRPr="001731CE" w14:paraId="02963649" w14:textId="77777777" w:rsidTr="00356C61">
        <w:tc>
          <w:tcPr>
            <w:tcW w:w="1359" w:type="pct"/>
          </w:tcPr>
          <w:p w14:paraId="47BEA41F" w14:textId="77777777" w:rsidR="0064621B" w:rsidRPr="001731CE" w:rsidRDefault="0064621B" w:rsidP="00AA4E74">
            <w:pPr>
              <w:shd w:val="clear" w:color="auto" w:fill="FFFFFF"/>
              <w:rPr>
                <w:color w:val="000000"/>
                <w:sz w:val="20"/>
                <w:szCs w:val="20"/>
              </w:rPr>
            </w:pPr>
            <w:r w:rsidRPr="001731CE">
              <w:rPr>
                <w:color w:val="000000"/>
                <w:sz w:val="20"/>
                <w:szCs w:val="20"/>
              </w:rPr>
              <w:t>GEF Focal Area(s):</w:t>
            </w:r>
          </w:p>
        </w:tc>
        <w:tc>
          <w:tcPr>
            <w:tcW w:w="1623" w:type="pct"/>
          </w:tcPr>
          <w:p w14:paraId="77AB174B" w14:textId="77777777" w:rsidR="0064621B" w:rsidRPr="001731CE" w:rsidRDefault="003E6856" w:rsidP="00AA4E74">
            <w:pPr>
              <w:shd w:val="clear" w:color="auto" w:fill="FFFFFF"/>
              <w:rPr>
                <w:color w:val="000000"/>
                <w:sz w:val="20"/>
                <w:szCs w:val="20"/>
              </w:rPr>
            </w:pPr>
            <w:r>
              <w:rPr>
                <w:color w:val="000000"/>
                <w:sz w:val="20"/>
                <w:szCs w:val="20"/>
              </w:rPr>
              <w:fldChar w:fldCharType="begin">
                <w:ffData>
                  <w:name w:val="focalArea"/>
                  <w:enabled/>
                  <w:calcOnExit w:val="0"/>
                  <w:ddList>
                    <w:listEntry w:val="Climate Change"/>
                    <w:listEntry w:val="(select)"/>
                    <w:listEntry w:val="Biodiversity"/>
                    <w:listEntry w:val="Chemicals and Wastes"/>
                    <w:listEntry w:val="International Waters"/>
                    <w:listEntry w:val="Land Degradation"/>
                    <w:listEntry w:val="Multi-focal Areas"/>
                  </w:ddList>
                </w:ffData>
              </w:fldChar>
            </w:r>
            <w:bookmarkStart w:id="7" w:name="focalArea"/>
            <w:r>
              <w:rPr>
                <w:color w:val="000000"/>
                <w:sz w:val="20"/>
                <w:szCs w:val="20"/>
              </w:rPr>
              <w:instrText xml:space="preserve"> FORMDROPDOWN </w:instrText>
            </w:r>
            <w:r w:rsidR="00A755A1">
              <w:rPr>
                <w:color w:val="000000"/>
                <w:sz w:val="20"/>
                <w:szCs w:val="20"/>
              </w:rPr>
            </w:r>
            <w:r w:rsidR="00A755A1">
              <w:rPr>
                <w:color w:val="000000"/>
                <w:sz w:val="20"/>
                <w:szCs w:val="20"/>
              </w:rPr>
              <w:fldChar w:fldCharType="separate"/>
            </w:r>
            <w:r>
              <w:rPr>
                <w:color w:val="000000"/>
                <w:sz w:val="20"/>
                <w:szCs w:val="20"/>
              </w:rPr>
              <w:fldChar w:fldCharType="end"/>
            </w:r>
            <w:bookmarkEnd w:id="7"/>
            <w:r w:rsidR="00667500" w:rsidRPr="001731CE">
              <w:rPr>
                <w:color w:val="000000"/>
                <w:sz w:val="20"/>
                <w:szCs w:val="20"/>
              </w:rPr>
              <w:t xml:space="preserve">  </w:t>
            </w:r>
          </w:p>
        </w:tc>
        <w:tc>
          <w:tcPr>
            <w:tcW w:w="1435" w:type="pct"/>
          </w:tcPr>
          <w:p w14:paraId="79A996DF" w14:textId="77777777" w:rsidR="0064621B" w:rsidRPr="001731CE" w:rsidRDefault="00FF3D8B" w:rsidP="00AA4E74">
            <w:pPr>
              <w:shd w:val="clear" w:color="auto" w:fill="FFFFFF"/>
              <w:rPr>
                <w:color w:val="000000"/>
                <w:sz w:val="20"/>
                <w:szCs w:val="20"/>
              </w:rPr>
            </w:pPr>
            <w:r w:rsidRPr="001731CE">
              <w:rPr>
                <w:color w:val="000000"/>
                <w:sz w:val="20"/>
                <w:szCs w:val="20"/>
              </w:rPr>
              <w:t>Project Duration (Months)</w:t>
            </w:r>
          </w:p>
        </w:tc>
        <w:tc>
          <w:tcPr>
            <w:tcW w:w="582" w:type="pct"/>
          </w:tcPr>
          <w:p w14:paraId="7A0DE850" w14:textId="77777777" w:rsidR="0064621B" w:rsidRPr="003E6856" w:rsidRDefault="003E6856" w:rsidP="00AA4E74">
            <w:pPr>
              <w:shd w:val="clear" w:color="auto" w:fill="FFFFFF"/>
              <w:rPr>
                <w:color w:val="000000"/>
                <w:sz w:val="20"/>
                <w:szCs w:val="20"/>
                <w:highlight w:val="lightGray"/>
              </w:rPr>
            </w:pPr>
            <w:r w:rsidRPr="003E6856">
              <w:rPr>
                <w:color w:val="000000"/>
                <w:sz w:val="20"/>
                <w:szCs w:val="20"/>
                <w:highlight w:val="lightGray"/>
              </w:rPr>
              <w:t>48 months</w:t>
            </w:r>
          </w:p>
        </w:tc>
      </w:tr>
    </w:tbl>
    <w:p w14:paraId="57AD2D50" w14:textId="77777777" w:rsidR="00D54E10" w:rsidRPr="001731CE" w:rsidRDefault="00D54E10" w:rsidP="00AA4E74">
      <w:pPr>
        <w:pStyle w:val="GEFTableHeading"/>
        <w:shd w:val="clear" w:color="auto" w:fill="FFFFFF"/>
        <w:rPr>
          <w:rFonts w:ascii="Times New Roman" w:hAnsi="Times New Roman"/>
        </w:rPr>
      </w:pPr>
    </w:p>
    <w:p w14:paraId="29B04902" w14:textId="77777777" w:rsidR="00276471" w:rsidRPr="001731CE" w:rsidRDefault="00155122" w:rsidP="00AA4E74">
      <w:pPr>
        <w:pStyle w:val="GEFTableHeading"/>
        <w:shd w:val="clear" w:color="auto" w:fill="FFFFFF"/>
        <w:spacing w:after="80"/>
        <w:rPr>
          <w:rFonts w:ascii="Times New Roman" w:hAnsi="Times New Roman"/>
        </w:rPr>
      </w:pPr>
      <w:r w:rsidRPr="001731CE">
        <w:rPr>
          <w:rFonts w:ascii="Times New Roman" w:hAnsi="Times New Roman"/>
        </w:rPr>
        <w:t>A.</w:t>
      </w:r>
      <w:r w:rsidR="00107376" w:rsidRPr="001731CE">
        <w:rPr>
          <w:rFonts w:ascii="Times New Roman" w:hAnsi="Times New Roman"/>
        </w:rPr>
        <w:t xml:space="preserve"> </w:t>
      </w:r>
      <w:r w:rsidR="00BC472A" w:rsidRPr="001731CE">
        <w:rPr>
          <w:rFonts w:ascii="Times New Roman" w:hAnsi="Times New Roman"/>
        </w:rPr>
        <w:t xml:space="preserve">indicative </w:t>
      </w:r>
      <w:r w:rsidR="00B24012" w:rsidRPr="001731CE">
        <w:rPr>
          <w:rFonts w:ascii="Times New Roman" w:hAnsi="Times New Roman"/>
        </w:rPr>
        <w:t>Focal</w:t>
      </w:r>
      <w:r w:rsidR="00DF2DB3" w:rsidRPr="001731CE">
        <w:rPr>
          <w:rFonts w:ascii="Times New Roman" w:hAnsi="Times New Roman"/>
        </w:rPr>
        <w:t>/</w:t>
      </w:r>
      <w:r w:rsidR="00DF2DB3" w:rsidRPr="00AA4E74">
        <w:rPr>
          <w:rFonts w:ascii="Times New Roman" w:hAnsi="Times New Roman"/>
          <w:shd w:val="clear" w:color="auto" w:fill="FFFFFF"/>
        </w:rPr>
        <w:t>non-Focal</w:t>
      </w:r>
      <w:r w:rsidR="00B24012" w:rsidRPr="001731CE">
        <w:rPr>
          <w:rFonts w:ascii="Times New Roman" w:hAnsi="Times New Roman"/>
        </w:rPr>
        <w:t xml:space="preserve"> Area  </w:t>
      </w:r>
      <w:r w:rsidR="00134D93" w:rsidRPr="001731CE">
        <w:rPr>
          <w:rFonts w:ascii="Times New Roman" w:hAnsi="Times New Roman"/>
        </w:rPr>
        <w:t>Elements</w:t>
      </w:r>
    </w:p>
    <w:tbl>
      <w:tblPr>
        <w:tblW w:w="521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978"/>
        <w:gridCol w:w="1319"/>
        <w:gridCol w:w="1582"/>
        <w:gridCol w:w="1145"/>
      </w:tblGrid>
      <w:tr w:rsidR="00A61885" w:rsidRPr="001731CE" w14:paraId="2DA22FB1" w14:textId="77777777" w:rsidTr="00356C61">
        <w:trPr>
          <w:trHeight w:val="270"/>
        </w:trPr>
        <w:tc>
          <w:tcPr>
            <w:tcW w:w="2982" w:type="pct"/>
            <w:vMerge w:val="restart"/>
            <w:shd w:val="clear" w:color="auto" w:fill="FFFFFF"/>
            <w:vAlign w:val="center"/>
          </w:tcPr>
          <w:p w14:paraId="6AED8E44" w14:textId="77777777" w:rsidR="00A61885" w:rsidRPr="001731CE" w:rsidRDefault="00134D93" w:rsidP="00AA4E74">
            <w:pPr>
              <w:pStyle w:val="Heading3"/>
              <w:shd w:val="clear" w:color="auto" w:fill="FFFFFF"/>
              <w:ind w:left="72"/>
              <w:jc w:val="center"/>
              <w:rPr>
                <w:bCs w:val="0"/>
                <w:iCs/>
                <w:color w:val="000000"/>
                <w:sz w:val="20"/>
                <w:szCs w:val="20"/>
              </w:rPr>
            </w:pPr>
            <w:r w:rsidRPr="00E0521B">
              <w:rPr>
                <w:color w:val="000000"/>
                <w:sz w:val="20"/>
                <w:szCs w:val="20"/>
              </w:rPr>
              <w:t>Programming Directions</w:t>
            </w:r>
          </w:p>
        </w:tc>
        <w:tc>
          <w:tcPr>
            <w:tcW w:w="658" w:type="pct"/>
            <w:vMerge w:val="restart"/>
            <w:shd w:val="clear" w:color="auto" w:fill="FFFFFF"/>
          </w:tcPr>
          <w:p w14:paraId="3677BDEA" w14:textId="77777777" w:rsidR="00A61885" w:rsidRPr="001731CE" w:rsidRDefault="00A61885" w:rsidP="00AA4E74">
            <w:pPr>
              <w:pStyle w:val="Heading3"/>
              <w:shd w:val="clear" w:color="auto" w:fill="FFFFFF"/>
              <w:rPr>
                <w:bCs w:val="0"/>
                <w:iCs/>
                <w:color w:val="000000"/>
                <w:sz w:val="20"/>
                <w:szCs w:val="20"/>
              </w:rPr>
            </w:pPr>
          </w:p>
          <w:p w14:paraId="2ABD938C" w14:textId="77777777" w:rsidR="00A61885" w:rsidRPr="001731CE" w:rsidRDefault="00A61885" w:rsidP="00AA4E74">
            <w:pPr>
              <w:pStyle w:val="Heading3"/>
              <w:shd w:val="clear" w:color="auto" w:fill="FFFFFF"/>
              <w:rPr>
                <w:bCs w:val="0"/>
                <w:iCs/>
                <w:color w:val="000000"/>
                <w:sz w:val="20"/>
                <w:szCs w:val="20"/>
              </w:rPr>
            </w:pPr>
            <w:r w:rsidRPr="001731CE">
              <w:rPr>
                <w:bCs w:val="0"/>
                <w:iCs/>
                <w:color w:val="000000"/>
                <w:sz w:val="20"/>
                <w:szCs w:val="20"/>
              </w:rPr>
              <w:t>Trust Fund</w:t>
            </w:r>
          </w:p>
        </w:tc>
        <w:tc>
          <w:tcPr>
            <w:tcW w:w="1360" w:type="pct"/>
            <w:gridSpan w:val="2"/>
            <w:shd w:val="clear" w:color="auto" w:fill="FFFFFF"/>
            <w:vAlign w:val="center"/>
          </w:tcPr>
          <w:p w14:paraId="45D23E05" w14:textId="77777777" w:rsidR="00A61885" w:rsidRPr="001731CE" w:rsidRDefault="00A61885" w:rsidP="00AA4E74">
            <w:pPr>
              <w:pStyle w:val="Heading3"/>
              <w:shd w:val="clear" w:color="auto" w:fill="FFFFFF"/>
              <w:jc w:val="center"/>
              <w:rPr>
                <w:bCs w:val="0"/>
                <w:iCs/>
                <w:color w:val="000000"/>
                <w:sz w:val="20"/>
                <w:szCs w:val="20"/>
              </w:rPr>
            </w:pPr>
            <w:r w:rsidRPr="001731CE">
              <w:rPr>
                <w:bCs w:val="0"/>
                <w:iCs/>
                <w:color w:val="000000"/>
                <w:sz w:val="20"/>
                <w:szCs w:val="20"/>
              </w:rPr>
              <w:t>(in $)</w:t>
            </w:r>
          </w:p>
        </w:tc>
      </w:tr>
      <w:tr w:rsidR="00C055F2" w:rsidRPr="001731CE" w14:paraId="5D645141" w14:textId="77777777" w:rsidTr="0015390A">
        <w:trPr>
          <w:trHeight w:val="405"/>
        </w:trPr>
        <w:tc>
          <w:tcPr>
            <w:tcW w:w="2982" w:type="pct"/>
            <w:vMerge/>
            <w:shd w:val="clear" w:color="auto" w:fill="FFFFFF"/>
            <w:vAlign w:val="center"/>
          </w:tcPr>
          <w:p w14:paraId="420C6607" w14:textId="77777777" w:rsidR="00A61885" w:rsidRPr="001731CE" w:rsidRDefault="00A61885" w:rsidP="00AA4E74">
            <w:pPr>
              <w:pStyle w:val="Heading3"/>
              <w:shd w:val="clear" w:color="auto" w:fill="FFFFFF"/>
              <w:ind w:left="72"/>
              <w:jc w:val="center"/>
              <w:rPr>
                <w:bCs w:val="0"/>
                <w:iCs/>
                <w:color w:val="000000"/>
                <w:sz w:val="20"/>
                <w:szCs w:val="20"/>
              </w:rPr>
            </w:pPr>
          </w:p>
        </w:tc>
        <w:tc>
          <w:tcPr>
            <w:tcW w:w="658" w:type="pct"/>
            <w:vMerge/>
            <w:shd w:val="clear" w:color="auto" w:fill="FFFFFF"/>
          </w:tcPr>
          <w:p w14:paraId="70B2F461" w14:textId="77777777" w:rsidR="00A61885" w:rsidRPr="001731CE" w:rsidRDefault="00A61885" w:rsidP="00AA4E74">
            <w:pPr>
              <w:pStyle w:val="Heading3"/>
              <w:shd w:val="clear" w:color="auto" w:fill="FFFFFF"/>
              <w:rPr>
                <w:bCs w:val="0"/>
                <w:iCs/>
                <w:color w:val="000000"/>
                <w:sz w:val="20"/>
                <w:szCs w:val="20"/>
              </w:rPr>
            </w:pPr>
          </w:p>
        </w:tc>
        <w:tc>
          <w:tcPr>
            <w:tcW w:w="789" w:type="pct"/>
            <w:shd w:val="clear" w:color="auto" w:fill="FFFFFF"/>
            <w:vAlign w:val="center"/>
          </w:tcPr>
          <w:p w14:paraId="1C562547" w14:textId="77777777" w:rsidR="00A61885" w:rsidRPr="001731CE" w:rsidRDefault="00A61885" w:rsidP="00AA4E74">
            <w:pPr>
              <w:pStyle w:val="Heading3"/>
              <w:shd w:val="clear" w:color="auto" w:fill="FFFFFF"/>
              <w:jc w:val="center"/>
              <w:rPr>
                <w:bCs w:val="0"/>
                <w:iCs/>
                <w:color w:val="000000"/>
                <w:sz w:val="20"/>
                <w:szCs w:val="20"/>
              </w:rPr>
            </w:pPr>
            <w:r w:rsidRPr="001731CE">
              <w:rPr>
                <w:bCs w:val="0"/>
                <w:iCs/>
                <w:color w:val="000000"/>
                <w:sz w:val="20"/>
                <w:szCs w:val="20"/>
              </w:rPr>
              <w:t>GEF Project Financing</w:t>
            </w:r>
          </w:p>
        </w:tc>
        <w:tc>
          <w:tcPr>
            <w:tcW w:w="571" w:type="pct"/>
            <w:shd w:val="clear" w:color="auto" w:fill="FFFFFF"/>
          </w:tcPr>
          <w:p w14:paraId="2FE0C7F8" w14:textId="77777777" w:rsidR="00A61885" w:rsidRPr="001731CE" w:rsidRDefault="00A61885" w:rsidP="00AA4E74">
            <w:pPr>
              <w:pStyle w:val="Heading3"/>
              <w:shd w:val="clear" w:color="auto" w:fill="FFFFFF"/>
              <w:rPr>
                <w:bCs w:val="0"/>
                <w:iCs/>
                <w:color w:val="000000"/>
                <w:sz w:val="20"/>
                <w:szCs w:val="20"/>
              </w:rPr>
            </w:pPr>
            <w:r w:rsidRPr="001731CE">
              <w:rPr>
                <w:bCs w:val="0"/>
                <w:iCs/>
                <w:color w:val="000000"/>
                <w:sz w:val="20"/>
                <w:szCs w:val="20"/>
              </w:rPr>
              <w:t>Co-financing</w:t>
            </w:r>
          </w:p>
        </w:tc>
      </w:tr>
      <w:tr w:rsidR="00C055F2" w:rsidRPr="001731CE" w14:paraId="1704A65E" w14:textId="77777777" w:rsidTr="0015390A">
        <w:trPr>
          <w:trHeight w:val="242"/>
        </w:trPr>
        <w:tc>
          <w:tcPr>
            <w:tcW w:w="2982" w:type="pct"/>
            <w:shd w:val="clear" w:color="auto" w:fill="FFFFFF"/>
          </w:tcPr>
          <w:p w14:paraId="6C8E147C" w14:textId="6A23975A" w:rsidR="00A61885" w:rsidRPr="001731CE" w:rsidRDefault="00E0521B" w:rsidP="00AA4E74">
            <w:pPr>
              <w:shd w:val="clear" w:color="auto" w:fill="FFFFFF"/>
              <w:rPr>
                <w:color w:val="000000"/>
                <w:sz w:val="20"/>
                <w:szCs w:val="20"/>
              </w:rPr>
            </w:pPr>
            <w:r>
              <w:rPr>
                <w:color w:val="000000"/>
                <w:sz w:val="20"/>
                <w:szCs w:val="20"/>
              </w:rPr>
              <w:fldChar w:fldCharType="begin">
                <w:ffData>
                  <w:name w:val="focalAreaObj_01"/>
                  <w:enabled/>
                  <w:calcOnExit w:val="0"/>
                  <w:ddList>
                    <w:listEntry w:val="CCM-3-8"/>
                    <w:listEntry w:val="(select)"/>
                    <w:listEntry w:val="BD-1-1"/>
                    <w:listEntry w:val="BD-1-2a"/>
                    <w:listEntry w:val="BD-1-2b"/>
                    <w:listEntry w:val="BD-1-3"/>
                    <w:listEntry w:val="BD-1-4"/>
                    <w:listEntry w:val="BD-1-5"/>
                    <w:listEntry w:val="BD-2-6"/>
                    <w:listEntry w:val="BD-2-7"/>
                    <w:listEntry w:val="BD-3-8"/>
                    <w:listEntry w:val="BD-3-9"/>
                    <w:listEntry w:val="BD-EA"/>
                    <w:listEntry w:val="CCM-1-1"/>
                    <w:listEntry w:val="CCM-1-2"/>
                    <w:listEntry w:val="CCM-1-3"/>
                    <w:listEntry w:val="CCM-1-4"/>
                    <w:listEntry w:val="CCM-2-5"/>
                    <w:listEntry w:val="CCM-2-6"/>
                    <w:listEntry w:val="CCM-2-7"/>
                    <w:listEntry w:val="CCM-3-9"/>
                    <w:listEntry w:val="CCM-EA"/>
                  </w:ddList>
                </w:ffData>
              </w:fldChar>
            </w:r>
            <w:bookmarkStart w:id="8" w:name="focalAreaObj_01"/>
            <w:r>
              <w:rPr>
                <w:color w:val="000000"/>
                <w:sz w:val="20"/>
                <w:szCs w:val="20"/>
              </w:rPr>
              <w:instrText xml:space="preserve"> FORMDROPDOWN </w:instrText>
            </w:r>
            <w:r w:rsidR="00A755A1">
              <w:rPr>
                <w:color w:val="000000"/>
                <w:sz w:val="20"/>
                <w:szCs w:val="20"/>
              </w:rPr>
            </w:r>
            <w:r w:rsidR="00A755A1">
              <w:rPr>
                <w:color w:val="000000"/>
                <w:sz w:val="20"/>
                <w:szCs w:val="20"/>
              </w:rPr>
              <w:fldChar w:fldCharType="separate"/>
            </w:r>
            <w:r>
              <w:rPr>
                <w:color w:val="000000"/>
                <w:sz w:val="20"/>
                <w:szCs w:val="20"/>
              </w:rPr>
              <w:fldChar w:fldCharType="end"/>
            </w:r>
            <w:bookmarkEnd w:id="8"/>
            <w:r w:rsidR="004F3183" w:rsidRPr="001731CE">
              <w:rPr>
                <w:color w:val="000000"/>
                <w:sz w:val="20"/>
                <w:szCs w:val="20"/>
              </w:rPr>
              <w:t xml:space="preserve"> </w:t>
            </w:r>
          </w:p>
        </w:tc>
        <w:tc>
          <w:tcPr>
            <w:tcW w:w="658" w:type="pct"/>
            <w:shd w:val="clear" w:color="auto" w:fill="FFFFFF"/>
          </w:tcPr>
          <w:p w14:paraId="21B4CC24" w14:textId="77777777" w:rsidR="00A61885" w:rsidRPr="001731CE" w:rsidRDefault="0015390A" w:rsidP="00AA4E74">
            <w:pPr>
              <w:shd w:val="clear" w:color="auto" w:fill="FFFFFF"/>
              <w:rPr>
                <w:color w:val="000000"/>
                <w:sz w:val="20"/>
                <w:szCs w:val="20"/>
              </w:rPr>
            </w:pPr>
            <w:r>
              <w:rPr>
                <w:color w:val="000000"/>
                <w:sz w:val="20"/>
                <w:szCs w:val="20"/>
              </w:rPr>
              <w:fldChar w:fldCharType="begin">
                <w:ffData>
                  <w:name w:val="A_TF_01"/>
                  <w:enabled/>
                  <w:calcOnExit w:val="0"/>
                  <w:ddList>
                    <w:listEntry w:val="GEFTF"/>
                    <w:listEntry w:val="(select)"/>
                    <w:listEntry w:val="LDCF"/>
                    <w:listEntry w:val="SCCF-A"/>
                    <w:listEntry w:val="SCCF-B"/>
                  </w:ddList>
                </w:ffData>
              </w:fldChar>
            </w:r>
            <w:bookmarkStart w:id="9" w:name="A_TF_01"/>
            <w:r>
              <w:rPr>
                <w:color w:val="000000"/>
                <w:sz w:val="20"/>
                <w:szCs w:val="20"/>
              </w:rPr>
              <w:instrText xml:space="preserve"> FORMDROPDOWN </w:instrText>
            </w:r>
            <w:r w:rsidR="00A755A1">
              <w:rPr>
                <w:color w:val="000000"/>
                <w:sz w:val="20"/>
                <w:szCs w:val="20"/>
              </w:rPr>
            </w:r>
            <w:r w:rsidR="00A755A1">
              <w:rPr>
                <w:color w:val="000000"/>
                <w:sz w:val="20"/>
                <w:szCs w:val="20"/>
              </w:rPr>
              <w:fldChar w:fldCharType="separate"/>
            </w:r>
            <w:r>
              <w:rPr>
                <w:color w:val="000000"/>
                <w:sz w:val="20"/>
                <w:szCs w:val="20"/>
              </w:rPr>
              <w:fldChar w:fldCharType="end"/>
            </w:r>
            <w:bookmarkEnd w:id="9"/>
          </w:p>
        </w:tc>
        <w:tc>
          <w:tcPr>
            <w:tcW w:w="789" w:type="pct"/>
            <w:shd w:val="clear" w:color="auto" w:fill="FFFFFF"/>
          </w:tcPr>
          <w:p w14:paraId="3008348E" w14:textId="77777777" w:rsidR="00A61885" w:rsidRPr="001731CE" w:rsidRDefault="0015390A" w:rsidP="00AA4E74">
            <w:pPr>
              <w:shd w:val="clear" w:color="auto" w:fill="FFFFFF"/>
              <w:jc w:val="right"/>
              <w:rPr>
                <w:color w:val="000000"/>
                <w:sz w:val="20"/>
                <w:szCs w:val="20"/>
              </w:rPr>
            </w:pPr>
            <w:r>
              <w:rPr>
                <w:color w:val="000000"/>
                <w:sz w:val="20"/>
                <w:szCs w:val="20"/>
              </w:rPr>
              <w:t>1,269,850</w:t>
            </w:r>
          </w:p>
        </w:tc>
        <w:tc>
          <w:tcPr>
            <w:tcW w:w="571" w:type="pct"/>
            <w:shd w:val="clear" w:color="auto" w:fill="FFFFFF"/>
          </w:tcPr>
          <w:p w14:paraId="45D4FD42" w14:textId="5027511A" w:rsidR="00A61885" w:rsidRPr="001731CE" w:rsidRDefault="0015390A" w:rsidP="00AA4E74">
            <w:pPr>
              <w:shd w:val="clear" w:color="auto" w:fill="FFFFFF"/>
              <w:jc w:val="right"/>
              <w:rPr>
                <w:color w:val="000000"/>
                <w:sz w:val="20"/>
                <w:szCs w:val="20"/>
              </w:rPr>
            </w:pPr>
            <w:r>
              <w:rPr>
                <w:color w:val="000000"/>
                <w:sz w:val="20"/>
                <w:szCs w:val="20"/>
              </w:rPr>
              <w:t>7</w:t>
            </w:r>
            <w:r w:rsidR="00407BD8">
              <w:rPr>
                <w:color w:val="000000"/>
                <w:sz w:val="20"/>
                <w:szCs w:val="20"/>
              </w:rPr>
              <w:t>7</w:t>
            </w:r>
            <w:r>
              <w:rPr>
                <w:color w:val="000000"/>
                <w:sz w:val="20"/>
                <w:szCs w:val="20"/>
              </w:rPr>
              <w:t>0,000</w:t>
            </w:r>
          </w:p>
        </w:tc>
      </w:tr>
      <w:tr w:rsidR="0015390A" w:rsidRPr="001731CE" w14:paraId="57D44F0E" w14:textId="77777777" w:rsidTr="0015390A">
        <w:tc>
          <w:tcPr>
            <w:tcW w:w="2982" w:type="pct"/>
            <w:tcBorders>
              <w:top w:val="double" w:sz="4" w:space="0" w:color="auto"/>
              <w:bottom w:val="double" w:sz="4" w:space="0" w:color="auto"/>
            </w:tcBorders>
            <w:shd w:val="clear" w:color="auto" w:fill="FFFFFF"/>
          </w:tcPr>
          <w:p w14:paraId="286F3260" w14:textId="77777777" w:rsidR="0015390A" w:rsidRPr="001731CE" w:rsidRDefault="0015390A" w:rsidP="0015390A">
            <w:pPr>
              <w:shd w:val="clear" w:color="auto" w:fill="FFFFFF"/>
              <w:jc w:val="right"/>
              <w:rPr>
                <w:b/>
                <w:color w:val="000000"/>
                <w:sz w:val="20"/>
                <w:szCs w:val="20"/>
              </w:rPr>
            </w:pPr>
            <w:r w:rsidRPr="001731CE">
              <w:rPr>
                <w:b/>
                <w:color w:val="000000"/>
                <w:sz w:val="20"/>
                <w:szCs w:val="20"/>
              </w:rPr>
              <w:t>Total Project Cost</w:t>
            </w:r>
          </w:p>
        </w:tc>
        <w:tc>
          <w:tcPr>
            <w:tcW w:w="658" w:type="pct"/>
            <w:tcBorders>
              <w:top w:val="double" w:sz="4" w:space="0" w:color="auto"/>
              <w:bottom w:val="double" w:sz="4" w:space="0" w:color="auto"/>
            </w:tcBorders>
            <w:shd w:val="clear" w:color="auto" w:fill="FFFFFF"/>
          </w:tcPr>
          <w:p w14:paraId="4CEC58A1" w14:textId="77777777" w:rsidR="0015390A" w:rsidRPr="001731CE" w:rsidRDefault="0015390A" w:rsidP="0015390A">
            <w:pPr>
              <w:shd w:val="clear" w:color="auto" w:fill="FFFFFF"/>
              <w:jc w:val="right"/>
              <w:rPr>
                <w:b/>
                <w:color w:val="000000"/>
                <w:sz w:val="20"/>
                <w:szCs w:val="20"/>
              </w:rPr>
            </w:pPr>
          </w:p>
        </w:tc>
        <w:tc>
          <w:tcPr>
            <w:tcW w:w="789" w:type="pct"/>
            <w:tcBorders>
              <w:top w:val="double" w:sz="4" w:space="0" w:color="auto"/>
              <w:bottom w:val="double" w:sz="4" w:space="0" w:color="auto"/>
            </w:tcBorders>
            <w:shd w:val="clear" w:color="auto" w:fill="FFFFFF"/>
          </w:tcPr>
          <w:p w14:paraId="2210E478" w14:textId="77777777" w:rsidR="0015390A" w:rsidRPr="0015390A" w:rsidRDefault="0015390A" w:rsidP="0015390A">
            <w:pPr>
              <w:shd w:val="clear" w:color="auto" w:fill="FFFFFF"/>
              <w:jc w:val="right"/>
              <w:rPr>
                <w:b/>
                <w:color w:val="000000"/>
                <w:sz w:val="20"/>
                <w:szCs w:val="20"/>
                <w:highlight w:val="lightGray"/>
              </w:rPr>
            </w:pPr>
            <w:r w:rsidRPr="0015390A">
              <w:rPr>
                <w:b/>
                <w:color w:val="000000"/>
                <w:sz w:val="20"/>
                <w:szCs w:val="20"/>
                <w:highlight w:val="lightGray"/>
              </w:rPr>
              <w:t>1,269,850</w:t>
            </w:r>
          </w:p>
        </w:tc>
        <w:tc>
          <w:tcPr>
            <w:tcW w:w="571" w:type="pct"/>
            <w:tcBorders>
              <w:top w:val="double" w:sz="4" w:space="0" w:color="auto"/>
              <w:bottom w:val="double" w:sz="4" w:space="0" w:color="auto"/>
            </w:tcBorders>
            <w:shd w:val="clear" w:color="auto" w:fill="FFFFFF"/>
          </w:tcPr>
          <w:p w14:paraId="7D198A1C" w14:textId="5332672C" w:rsidR="0015390A" w:rsidRPr="0015390A" w:rsidRDefault="0015390A" w:rsidP="0015390A">
            <w:pPr>
              <w:shd w:val="clear" w:color="auto" w:fill="FFFFFF"/>
              <w:jc w:val="right"/>
              <w:rPr>
                <w:b/>
                <w:color w:val="000000"/>
                <w:sz w:val="20"/>
                <w:szCs w:val="20"/>
                <w:highlight w:val="lightGray"/>
              </w:rPr>
            </w:pPr>
            <w:r w:rsidRPr="0015390A">
              <w:rPr>
                <w:b/>
                <w:color w:val="000000"/>
                <w:sz w:val="20"/>
                <w:szCs w:val="20"/>
                <w:highlight w:val="lightGray"/>
              </w:rPr>
              <w:t>7</w:t>
            </w:r>
            <w:r w:rsidR="00407BD8">
              <w:rPr>
                <w:b/>
                <w:color w:val="000000"/>
                <w:sz w:val="20"/>
                <w:szCs w:val="20"/>
                <w:highlight w:val="lightGray"/>
              </w:rPr>
              <w:t>7</w:t>
            </w:r>
            <w:r w:rsidRPr="0015390A">
              <w:rPr>
                <w:b/>
                <w:color w:val="000000"/>
                <w:sz w:val="20"/>
                <w:szCs w:val="20"/>
                <w:highlight w:val="lightGray"/>
              </w:rPr>
              <w:t>0,000</w:t>
            </w:r>
          </w:p>
        </w:tc>
      </w:tr>
    </w:tbl>
    <w:p w14:paraId="06E9A1BC" w14:textId="77777777" w:rsidR="00D54E10" w:rsidRPr="001731CE" w:rsidRDefault="00D54E10" w:rsidP="00AA4E74">
      <w:pPr>
        <w:pStyle w:val="GEFTableHeading"/>
        <w:shd w:val="clear" w:color="auto" w:fill="FFFFFF"/>
        <w:rPr>
          <w:rFonts w:ascii="Times New Roman" w:hAnsi="Times New Roman"/>
        </w:rPr>
      </w:pPr>
    </w:p>
    <w:p w14:paraId="4BEE4E03" w14:textId="77777777" w:rsidR="00276471" w:rsidRPr="001731CE" w:rsidRDefault="00155122" w:rsidP="00AA4E74">
      <w:pPr>
        <w:pStyle w:val="GEFTableHeading"/>
        <w:shd w:val="clear" w:color="auto" w:fill="FFFFFF"/>
        <w:spacing w:after="80"/>
        <w:rPr>
          <w:rFonts w:ascii="Times New Roman" w:hAnsi="Times New Roman"/>
        </w:rPr>
      </w:pPr>
      <w:r w:rsidRPr="001731CE">
        <w:rPr>
          <w:rFonts w:ascii="Times New Roman" w:hAnsi="Times New Roman"/>
        </w:rPr>
        <w:t xml:space="preserve">B. </w:t>
      </w:r>
      <w:r w:rsidR="00BC472A" w:rsidRPr="001731CE">
        <w:rPr>
          <w:rFonts w:ascii="Times New Roman" w:hAnsi="Times New Roman"/>
        </w:rPr>
        <w:t xml:space="preserve">indicative </w:t>
      </w:r>
      <w:r w:rsidR="00F52D8A" w:rsidRPr="001731CE">
        <w:rPr>
          <w:rFonts w:ascii="Times New Roman" w:hAnsi="Times New Roman"/>
        </w:rPr>
        <w:t xml:space="preserve">Project </w:t>
      </w:r>
      <w:r w:rsidR="00702FB1" w:rsidRPr="001731CE">
        <w:rPr>
          <w:rFonts w:ascii="Times New Roman" w:hAnsi="Times New Roman"/>
        </w:rPr>
        <w:t>description summary</w:t>
      </w:r>
    </w:p>
    <w:tbl>
      <w:tblPr>
        <w:tblW w:w="5203" w:type="pct"/>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15" w:type="dxa"/>
          <w:right w:w="115" w:type="dxa"/>
        </w:tblCellMar>
        <w:tblLook w:val="01E0" w:firstRow="1" w:lastRow="1" w:firstColumn="1" w:lastColumn="1" w:noHBand="0" w:noVBand="0"/>
      </w:tblPr>
      <w:tblGrid>
        <w:gridCol w:w="1901"/>
        <w:gridCol w:w="1924"/>
        <w:gridCol w:w="1469"/>
        <w:gridCol w:w="1509"/>
        <w:gridCol w:w="927"/>
        <w:gridCol w:w="1086"/>
        <w:gridCol w:w="1195"/>
      </w:tblGrid>
      <w:tr w:rsidR="00EC7281" w:rsidRPr="001731CE" w14:paraId="280415E0" w14:textId="77777777" w:rsidTr="00356C61">
        <w:trPr>
          <w:trHeight w:val="260"/>
        </w:trPr>
        <w:tc>
          <w:tcPr>
            <w:tcW w:w="5000" w:type="pct"/>
            <w:gridSpan w:val="7"/>
            <w:shd w:val="clear" w:color="auto" w:fill="FFFFFF"/>
            <w:vAlign w:val="center"/>
          </w:tcPr>
          <w:p w14:paraId="1033A315" w14:textId="77777777" w:rsidR="00EC7281" w:rsidRPr="001731CE" w:rsidRDefault="00EC7281" w:rsidP="00AA4E74">
            <w:pPr>
              <w:pStyle w:val="Heading3"/>
              <w:shd w:val="clear" w:color="auto" w:fill="FFFFFF"/>
              <w:rPr>
                <w:bCs w:val="0"/>
                <w:iCs/>
                <w:color w:val="000000"/>
                <w:sz w:val="20"/>
                <w:szCs w:val="20"/>
              </w:rPr>
            </w:pPr>
            <w:r w:rsidRPr="001731CE">
              <w:rPr>
                <w:bCs w:val="0"/>
                <w:iCs/>
                <w:color w:val="000000"/>
                <w:sz w:val="20"/>
                <w:szCs w:val="20"/>
              </w:rPr>
              <w:t xml:space="preserve">Project Objective:  </w:t>
            </w:r>
            <w:r w:rsidR="006309CF" w:rsidRPr="0002770F">
              <w:rPr>
                <w:b w:val="0"/>
                <w:color w:val="000000"/>
                <w:sz w:val="20"/>
                <w:szCs w:val="20"/>
              </w:rPr>
              <w:t xml:space="preserve">To assist </w:t>
            </w:r>
            <w:r w:rsidR="006309CF">
              <w:rPr>
                <w:b w:val="0"/>
                <w:color w:val="000000"/>
                <w:sz w:val="20"/>
                <w:szCs w:val="20"/>
              </w:rPr>
              <w:t xml:space="preserve">the Republic of </w:t>
            </w:r>
            <w:r w:rsidR="006309CF" w:rsidRPr="0002770F">
              <w:rPr>
                <w:b w:val="0"/>
                <w:color w:val="000000"/>
                <w:sz w:val="20"/>
                <w:szCs w:val="20"/>
              </w:rPr>
              <w:t xml:space="preserve">Mauritius </w:t>
            </w:r>
            <w:r w:rsidR="006309CF">
              <w:rPr>
                <w:b w:val="0"/>
                <w:color w:val="000000"/>
                <w:sz w:val="20"/>
                <w:szCs w:val="20"/>
              </w:rPr>
              <w:t>in</w:t>
            </w:r>
            <w:r w:rsidR="006309CF" w:rsidRPr="0002770F">
              <w:rPr>
                <w:b w:val="0"/>
                <w:color w:val="000000"/>
                <w:sz w:val="20"/>
                <w:szCs w:val="20"/>
              </w:rPr>
              <w:t xml:space="preserve"> strengthen</w:t>
            </w:r>
            <w:r w:rsidR="006309CF">
              <w:rPr>
                <w:b w:val="0"/>
                <w:color w:val="000000"/>
                <w:sz w:val="20"/>
                <w:szCs w:val="20"/>
              </w:rPr>
              <w:t>ing</w:t>
            </w:r>
            <w:r w:rsidR="006309CF" w:rsidRPr="0002770F">
              <w:rPr>
                <w:b w:val="0"/>
                <w:color w:val="000000"/>
                <w:sz w:val="20"/>
                <w:szCs w:val="20"/>
              </w:rPr>
              <w:t xml:space="preserve"> </w:t>
            </w:r>
            <w:r w:rsidR="006309CF">
              <w:rPr>
                <w:b w:val="0"/>
                <w:color w:val="000000"/>
                <w:sz w:val="20"/>
                <w:szCs w:val="20"/>
              </w:rPr>
              <w:t>its national greenhouse gas inventory and associated data collection process, and to mainstream greater use of the inventory in policy formulation and NDC tracking</w:t>
            </w:r>
          </w:p>
        </w:tc>
      </w:tr>
      <w:tr w:rsidR="004C2E97" w:rsidRPr="001731CE" w14:paraId="3F278314" w14:textId="77777777" w:rsidTr="000C6DB0">
        <w:trPr>
          <w:trHeight w:val="285"/>
        </w:trPr>
        <w:tc>
          <w:tcPr>
            <w:tcW w:w="957" w:type="pct"/>
            <w:vMerge w:val="restart"/>
            <w:shd w:val="clear" w:color="auto" w:fill="FFFFFF"/>
            <w:vAlign w:val="center"/>
          </w:tcPr>
          <w:p w14:paraId="3FC80386" w14:textId="77777777" w:rsidR="004C2E97" w:rsidRPr="001731CE" w:rsidRDefault="004C2E97" w:rsidP="00AA4E74">
            <w:pPr>
              <w:pStyle w:val="Heading3"/>
              <w:shd w:val="clear" w:color="auto" w:fill="FFFFFF"/>
              <w:ind w:left="72"/>
              <w:rPr>
                <w:bCs w:val="0"/>
                <w:iCs/>
                <w:color w:val="000000"/>
                <w:sz w:val="20"/>
                <w:szCs w:val="20"/>
              </w:rPr>
            </w:pPr>
            <w:r w:rsidRPr="001731CE">
              <w:rPr>
                <w:bCs w:val="0"/>
                <w:iCs/>
                <w:color w:val="000000"/>
                <w:sz w:val="20"/>
                <w:szCs w:val="20"/>
              </w:rPr>
              <w:t>Project Component</w:t>
            </w:r>
            <w:r w:rsidR="006E694C" w:rsidRPr="001731CE">
              <w:rPr>
                <w:bCs w:val="0"/>
                <w:iCs/>
                <w:color w:val="000000"/>
                <w:sz w:val="20"/>
                <w:szCs w:val="20"/>
              </w:rPr>
              <w:t>s</w:t>
            </w:r>
          </w:p>
        </w:tc>
        <w:tc>
          <w:tcPr>
            <w:tcW w:w="938" w:type="pct"/>
            <w:vMerge w:val="restart"/>
            <w:shd w:val="clear" w:color="auto" w:fill="FFFFFF"/>
            <w:vAlign w:val="center"/>
          </w:tcPr>
          <w:p w14:paraId="773BFAA7" w14:textId="77777777" w:rsidR="00293BBD" w:rsidRPr="001731CE" w:rsidRDefault="00293BBD" w:rsidP="00AA4E74">
            <w:pPr>
              <w:pStyle w:val="Heading3"/>
              <w:shd w:val="clear" w:color="auto" w:fill="FFFFFF"/>
              <w:ind w:left="72"/>
              <w:rPr>
                <w:bCs w:val="0"/>
                <w:iCs/>
                <w:sz w:val="20"/>
                <w:szCs w:val="20"/>
              </w:rPr>
            </w:pPr>
            <w:r w:rsidRPr="001731CE">
              <w:rPr>
                <w:bCs w:val="0"/>
                <w:iCs/>
                <w:sz w:val="20"/>
                <w:szCs w:val="20"/>
              </w:rPr>
              <w:t xml:space="preserve">Component </w:t>
            </w:r>
          </w:p>
          <w:p w14:paraId="530BC3BD" w14:textId="77777777" w:rsidR="004C2E97" w:rsidRPr="001731CE" w:rsidRDefault="004C2E97" w:rsidP="00AA4E74">
            <w:pPr>
              <w:pStyle w:val="Heading3"/>
              <w:shd w:val="clear" w:color="auto" w:fill="FFFFFF"/>
              <w:ind w:left="72"/>
              <w:rPr>
                <w:bCs w:val="0"/>
                <w:iCs/>
                <w:color w:val="000000"/>
                <w:sz w:val="20"/>
                <w:szCs w:val="20"/>
              </w:rPr>
            </w:pPr>
            <w:r w:rsidRPr="001731CE">
              <w:rPr>
                <w:bCs w:val="0"/>
                <w:iCs/>
                <w:color w:val="000000"/>
                <w:sz w:val="20"/>
                <w:szCs w:val="20"/>
              </w:rPr>
              <w:t>Type</w:t>
            </w:r>
          </w:p>
        </w:tc>
        <w:tc>
          <w:tcPr>
            <w:tcW w:w="741" w:type="pct"/>
            <w:vMerge w:val="restart"/>
            <w:shd w:val="clear" w:color="auto" w:fill="FFFFFF"/>
            <w:vAlign w:val="center"/>
          </w:tcPr>
          <w:p w14:paraId="0561193B" w14:textId="77777777" w:rsidR="004C2E97" w:rsidRPr="001731CE" w:rsidRDefault="004C2E97" w:rsidP="00AA4E74">
            <w:pPr>
              <w:pStyle w:val="Heading3"/>
              <w:shd w:val="clear" w:color="auto" w:fill="FFFFFF"/>
              <w:jc w:val="center"/>
              <w:rPr>
                <w:bCs w:val="0"/>
                <w:iCs/>
                <w:color w:val="000000"/>
                <w:sz w:val="20"/>
                <w:szCs w:val="20"/>
              </w:rPr>
            </w:pPr>
            <w:r w:rsidRPr="001731CE">
              <w:rPr>
                <w:bCs w:val="0"/>
                <w:iCs/>
                <w:color w:val="000000"/>
                <w:sz w:val="20"/>
                <w:szCs w:val="20"/>
              </w:rPr>
              <w:t>Project Outcomes</w:t>
            </w:r>
          </w:p>
        </w:tc>
        <w:tc>
          <w:tcPr>
            <w:tcW w:w="761" w:type="pct"/>
            <w:vMerge w:val="restart"/>
            <w:shd w:val="clear" w:color="auto" w:fill="FFFFFF"/>
            <w:vAlign w:val="center"/>
          </w:tcPr>
          <w:p w14:paraId="7911B1AA" w14:textId="77777777" w:rsidR="004C2E97" w:rsidRPr="001731CE" w:rsidRDefault="004C2E97" w:rsidP="00AA4E74">
            <w:pPr>
              <w:pStyle w:val="Heading3"/>
              <w:shd w:val="clear" w:color="auto" w:fill="FFFFFF"/>
              <w:jc w:val="center"/>
              <w:rPr>
                <w:bCs w:val="0"/>
                <w:iCs/>
                <w:color w:val="000000"/>
                <w:sz w:val="20"/>
                <w:szCs w:val="20"/>
              </w:rPr>
            </w:pPr>
            <w:r w:rsidRPr="001731CE">
              <w:rPr>
                <w:bCs w:val="0"/>
                <w:iCs/>
                <w:color w:val="000000"/>
                <w:sz w:val="20"/>
                <w:szCs w:val="20"/>
              </w:rPr>
              <w:t>Project Outputs</w:t>
            </w:r>
          </w:p>
        </w:tc>
        <w:tc>
          <w:tcPr>
            <w:tcW w:w="470" w:type="pct"/>
            <w:vMerge w:val="restart"/>
            <w:shd w:val="clear" w:color="auto" w:fill="FFFFFF"/>
            <w:vAlign w:val="center"/>
          </w:tcPr>
          <w:p w14:paraId="36D9C0AB" w14:textId="77777777" w:rsidR="004C2E97" w:rsidRPr="001731CE" w:rsidRDefault="004C2E97" w:rsidP="00AA4E74">
            <w:pPr>
              <w:pStyle w:val="Heading3"/>
              <w:shd w:val="clear" w:color="auto" w:fill="FFFFFF"/>
              <w:rPr>
                <w:bCs w:val="0"/>
                <w:iCs/>
                <w:color w:val="000000"/>
                <w:sz w:val="20"/>
                <w:szCs w:val="20"/>
              </w:rPr>
            </w:pPr>
            <w:r w:rsidRPr="001731CE">
              <w:rPr>
                <w:bCs w:val="0"/>
                <w:iCs/>
                <w:color w:val="000000"/>
                <w:sz w:val="20"/>
                <w:szCs w:val="20"/>
              </w:rPr>
              <w:t>Trust Fund</w:t>
            </w:r>
          </w:p>
        </w:tc>
        <w:tc>
          <w:tcPr>
            <w:tcW w:w="1134" w:type="pct"/>
            <w:gridSpan w:val="2"/>
            <w:shd w:val="clear" w:color="auto" w:fill="FFFFFF"/>
            <w:vAlign w:val="center"/>
          </w:tcPr>
          <w:p w14:paraId="5AC127FA" w14:textId="77777777" w:rsidR="004C2E97" w:rsidRPr="001731CE" w:rsidRDefault="004C2E97" w:rsidP="00AA4E74">
            <w:pPr>
              <w:pStyle w:val="Heading3"/>
              <w:shd w:val="clear" w:color="auto" w:fill="FFFFFF"/>
              <w:jc w:val="center"/>
              <w:rPr>
                <w:bCs w:val="0"/>
                <w:iCs/>
                <w:color w:val="000000"/>
                <w:sz w:val="20"/>
                <w:szCs w:val="20"/>
              </w:rPr>
            </w:pPr>
            <w:r w:rsidRPr="001731CE">
              <w:rPr>
                <w:bCs w:val="0"/>
                <w:iCs/>
                <w:color w:val="000000"/>
                <w:sz w:val="20"/>
                <w:szCs w:val="20"/>
              </w:rPr>
              <w:t>(in $)</w:t>
            </w:r>
          </w:p>
        </w:tc>
      </w:tr>
      <w:tr w:rsidR="00356C61" w:rsidRPr="001731CE" w14:paraId="56E3FFC5" w14:textId="77777777" w:rsidTr="000C6DB0">
        <w:trPr>
          <w:trHeight w:val="212"/>
        </w:trPr>
        <w:tc>
          <w:tcPr>
            <w:tcW w:w="957" w:type="pct"/>
            <w:vMerge/>
            <w:shd w:val="clear" w:color="auto" w:fill="FFFFFF"/>
            <w:vAlign w:val="center"/>
          </w:tcPr>
          <w:p w14:paraId="69DC6743" w14:textId="77777777" w:rsidR="004C2E97" w:rsidRPr="001731CE" w:rsidRDefault="004C2E97" w:rsidP="00AA4E74">
            <w:pPr>
              <w:pStyle w:val="Heading3"/>
              <w:shd w:val="clear" w:color="auto" w:fill="FFFFFF"/>
              <w:ind w:left="72"/>
              <w:rPr>
                <w:bCs w:val="0"/>
                <w:iCs/>
                <w:color w:val="000000"/>
                <w:sz w:val="20"/>
                <w:szCs w:val="20"/>
              </w:rPr>
            </w:pPr>
          </w:p>
        </w:tc>
        <w:tc>
          <w:tcPr>
            <w:tcW w:w="938" w:type="pct"/>
            <w:vMerge/>
            <w:shd w:val="clear" w:color="auto" w:fill="FFFFFF"/>
            <w:vAlign w:val="center"/>
          </w:tcPr>
          <w:p w14:paraId="47725CBE" w14:textId="77777777" w:rsidR="004C2E97" w:rsidRPr="001731CE" w:rsidRDefault="004C2E97" w:rsidP="00AA4E74">
            <w:pPr>
              <w:pStyle w:val="Heading3"/>
              <w:shd w:val="clear" w:color="auto" w:fill="FFFFFF"/>
              <w:ind w:left="72"/>
              <w:rPr>
                <w:bCs w:val="0"/>
                <w:iCs/>
                <w:color w:val="000000"/>
                <w:sz w:val="20"/>
                <w:szCs w:val="20"/>
              </w:rPr>
            </w:pPr>
          </w:p>
        </w:tc>
        <w:tc>
          <w:tcPr>
            <w:tcW w:w="741" w:type="pct"/>
            <w:vMerge/>
            <w:shd w:val="clear" w:color="auto" w:fill="FFFFFF"/>
            <w:vAlign w:val="center"/>
          </w:tcPr>
          <w:p w14:paraId="095CB1FA" w14:textId="77777777" w:rsidR="004C2E97" w:rsidRPr="001731CE" w:rsidRDefault="004C2E97" w:rsidP="00AA4E74">
            <w:pPr>
              <w:pStyle w:val="Heading3"/>
              <w:shd w:val="clear" w:color="auto" w:fill="FFFFFF"/>
              <w:jc w:val="center"/>
              <w:rPr>
                <w:bCs w:val="0"/>
                <w:iCs/>
                <w:color w:val="000000"/>
                <w:sz w:val="20"/>
                <w:szCs w:val="20"/>
              </w:rPr>
            </w:pPr>
          </w:p>
        </w:tc>
        <w:tc>
          <w:tcPr>
            <w:tcW w:w="761" w:type="pct"/>
            <w:vMerge/>
            <w:shd w:val="clear" w:color="auto" w:fill="FFFFFF"/>
            <w:vAlign w:val="center"/>
          </w:tcPr>
          <w:p w14:paraId="44248C33" w14:textId="77777777" w:rsidR="004C2E97" w:rsidRPr="001731CE" w:rsidRDefault="004C2E97" w:rsidP="00AA4E74">
            <w:pPr>
              <w:pStyle w:val="Heading3"/>
              <w:shd w:val="clear" w:color="auto" w:fill="FFFFFF"/>
              <w:jc w:val="center"/>
              <w:rPr>
                <w:bCs w:val="0"/>
                <w:iCs/>
                <w:color w:val="000000"/>
                <w:sz w:val="20"/>
                <w:szCs w:val="20"/>
              </w:rPr>
            </w:pPr>
          </w:p>
        </w:tc>
        <w:tc>
          <w:tcPr>
            <w:tcW w:w="470" w:type="pct"/>
            <w:vMerge/>
            <w:shd w:val="clear" w:color="auto" w:fill="FFFFFF"/>
          </w:tcPr>
          <w:p w14:paraId="49236C33" w14:textId="77777777" w:rsidR="004C2E97" w:rsidRPr="001731CE" w:rsidRDefault="004C2E97" w:rsidP="00AA4E74">
            <w:pPr>
              <w:pStyle w:val="Heading3"/>
              <w:shd w:val="clear" w:color="auto" w:fill="FFFFFF"/>
              <w:rPr>
                <w:bCs w:val="0"/>
                <w:iCs/>
                <w:color w:val="000000"/>
                <w:sz w:val="20"/>
                <w:szCs w:val="20"/>
              </w:rPr>
            </w:pPr>
          </w:p>
        </w:tc>
        <w:tc>
          <w:tcPr>
            <w:tcW w:w="529" w:type="pct"/>
            <w:shd w:val="clear" w:color="auto" w:fill="FFFFFF"/>
            <w:vAlign w:val="center"/>
          </w:tcPr>
          <w:p w14:paraId="6EFABB0A" w14:textId="77777777" w:rsidR="004C2E97" w:rsidRPr="001731CE" w:rsidRDefault="004C2E97" w:rsidP="00AA4E74">
            <w:pPr>
              <w:pStyle w:val="Heading3"/>
              <w:shd w:val="clear" w:color="auto" w:fill="FFFFFF"/>
              <w:jc w:val="center"/>
              <w:rPr>
                <w:bCs w:val="0"/>
                <w:iCs/>
                <w:color w:val="000000"/>
                <w:sz w:val="20"/>
                <w:szCs w:val="20"/>
              </w:rPr>
            </w:pPr>
            <w:r w:rsidRPr="001731CE">
              <w:rPr>
                <w:bCs w:val="0"/>
                <w:iCs/>
                <w:color w:val="000000"/>
                <w:sz w:val="20"/>
                <w:szCs w:val="20"/>
              </w:rPr>
              <w:t>GEF Project Financing</w:t>
            </w:r>
          </w:p>
        </w:tc>
        <w:tc>
          <w:tcPr>
            <w:tcW w:w="605" w:type="pct"/>
            <w:shd w:val="clear" w:color="auto" w:fill="FFFFFF"/>
          </w:tcPr>
          <w:p w14:paraId="23E658A9" w14:textId="77777777" w:rsidR="004C2E97" w:rsidRPr="001731CE" w:rsidRDefault="004C2E97" w:rsidP="00AA4E74">
            <w:pPr>
              <w:pStyle w:val="Heading3"/>
              <w:shd w:val="clear" w:color="auto" w:fill="FFFFFF"/>
              <w:rPr>
                <w:bCs w:val="0"/>
                <w:iCs/>
                <w:color w:val="000000"/>
                <w:sz w:val="20"/>
                <w:szCs w:val="20"/>
              </w:rPr>
            </w:pPr>
            <w:r w:rsidRPr="001731CE">
              <w:rPr>
                <w:bCs w:val="0"/>
                <w:iCs/>
                <w:color w:val="000000"/>
                <w:sz w:val="20"/>
                <w:szCs w:val="20"/>
              </w:rPr>
              <w:t>Co-financing</w:t>
            </w:r>
          </w:p>
        </w:tc>
      </w:tr>
      <w:tr w:rsidR="00356C61" w:rsidRPr="001731CE" w14:paraId="1A0B1B59" w14:textId="77777777" w:rsidTr="000C6DB0">
        <w:trPr>
          <w:trHeight w:val="251"/>
        </w:trPr>
        <w:tc>
          <w:tcPr>
            <w:tcW w:w="957" w:type="pct"/>
            <w:shd w:val="clear" w:color="auto" w:fill="FFFFFF"/>
          </w:tcPr>
          <w:p w14:paraId="03D80123" w14:textId="77777777" w:rsidR="004C2E97" w:rsidRPr="001731CE" w:rsidRDefault="004C2E97" w:rsidP="00AA4E74">
            <w:pPr>
              <w:shd w:val="clear" w:color="auto" w:fill="FFFFFF"/>
              <w:rPr>
                <w:color w:val="000000"/>
                <w:sz w:val="20"/>
                <w:szCs w:val="20"/>
              </w:rPr>
            </w:pPr>
            <w:r w:rsidRPr="001731CE">
              <w:rPr>
                <w:color w:val="000000"/>
                <w:sz w:val="20"/>
                <w:szCs w:val="20"/>
              </w:rPr>
              <w:t xml:space="preserve"> </w:t>
            </w:r>
            <w:r w:rsidR="0015390A" w:rsidRPr="0002770F">
              <w:rPr>
                <w:color w:val="000000"/>
                <w:sz w:val="20"/>
                <w:szCs w:val="20"/>
              </w:rPr>
              <w:t xml:space="preserve">1. </w:t>
            </w:r>
            <w:r w:rsidR="0015390A">
              <w:rPr>
                <w:color w:val="000000"/>
                <w:sz w:val="20"/>
                <w:szCs w:val="20"/>
              </w:rPr>
              <w:t>Improving the accuracy and localisation of the national greenhouse gas inventory</w:t>
            </w:r>
          </w:p>
        </w:tc>
        <w:tc>
          <w:tcPr>
            <w:tcW w:w="938" w:type="pct"/>
            <w:shd w:val="clear" w:color="auto" w:fill="FFFFFF"/>
          </w:tcPr>
          <w:p w14:paraId="10B043A8" w14:textId="77777777" w:rsidR="004C2E97" w:rsidRPr="001731CE" w:rsidRDefault="0015390A" w:rsidP="00AA4E74">
            <w:pPr>
              <w:shd w:val="clear" w:color="auto" w:fill="FFFFFF"/>
              <w:rPr>
                <w:color w:val="000000"/>
                <w:sz w:val="20"/>
                <w:szCs w:val="20"/>
              </w:rPr>
            </w:pPr>
            <w:r>
              <w:rPr>
                <w:color w:val="000000"/>
                <w:sz w:val="20"/>
                <w:szCs w:val="20"/>
              </w:rPr>
              <w:fldChar w:fldCharType="begin">
                <w:ffData>
                  <w:name w:val="GrantType_01"/>
                  <w:enabled/>
                  <w:calcOnExit w:val="0"/>
                  <w:helpText w:type="text" w:val="Financing Type. This field has to be filled up as either Technical Assistance or Investment but not both."/>
                  <w:ddList>
                    <w:listEntry w:val="Technical Assistance"/>
                    <w:listEntry w:val="(select)"/>
                    <w:listEntry w:val="Investment"/>
                  </w:ddList>
                </w:ffData>
              </w:fldChar>
            </w:r>
            <w:bookmarkStart w:id="10" w:name="GrantType_01"/>
            <w:r>
              <w:rPr>
                <w:color w:val="000000"/>
                <w:sz w:val="20"/>
                <w:szCs w:val="20"/>
              </w:rPr>
              <w:instrText xml:space="preserve"> FORMDROPDOWN </w:instrText>
            </w:r>
            <w:r w:rsidR="00A755A1">
              <w:rPr>
                <w:color w:val="000000"/>
                <w:sz w:val="20"/>
                <w:szCs w:val="20"/>
              </w:rPr>
            </w:r>
            <w:r w:rsidR="00A755A1">
              <w:rPr>
                <w:color w:val="000000"/>
                <w:sz w:val="20"/>
                <w:szCs w:val="20"/>
              </w:rPr>
              <w:fldChar w:fldCharType="separate"/>
            </w:r>
            <w:r>
              <w:rPr>
                <w:color w:val="000000"/>
                <w:sz w:val="20"/>
                <w:szCs w:val="20"/>
              </w:rPr>
              <w:fldChar w:fldCharType="end"/>
            </w:r>
            <w:bookmarkEnd w:id="10"/>
          </w:p>
        </w:tc>
        <w:tc>
          <w:tcPr>
            <w:tcW w:w="741" w:type="pct"/>
            <w:shd w:val="clear" w:color="auto" w:fill="FFFFFF"/>
          </w:tcPr>
          <w:p w14:paraId="55203063" w14:textId="77777777" w:rsidR="004C2E97" w:rsidRPr="001731CE" w:rsidRDefault="0015390A" w:rsidP="00AA4E74">
            <w:pPr>
              <w:shd w:val="clear" w:color="auto" w:fill="FFFFFF"/>
              <w:rPr>
                <w:color w:val="000000"/>
                <w:sz w:val="20"/>
                <w:szCs w:val="20"/>
              </w:rPr>
            </w:pPr>
            <w:r w:rsidRPr="0002770F">
              <w:rPr>
                <w:color w:val="000000"/>
                <w:sz w:val="20"/>
                <w:szCs w:val="20"/>
              </w:rPr>
              <w:t>1.</w:t>
            </w:r>
            <w:r>
              <w:rPr>
                <w:color w:val="000000"/>
                <w:sz w:val="20"/>
                <w:szCs w:val="20"/>
              </w:rPr>
              <w:t>1</w:t>
            </w:r>
            <w:r w:rsidRPr="0002770F">
              <w:rPr>
                <w:color w:val="000000"/>
                <w:sz w:val="20"/>
                <w:szCs w:val="20"/>
              </w:rPr>
              <w:t xml:space="preserve"> </w:t>
            </w:r>
            <w:r>
              <w:rPr>
                <w:color w:val="000000"/>
                <w:sz w:val="20"/>
                <w:szCs w:val="20"/>
              </w:rPr>
              <w:t>Key Category sectors benefit from locally-calibrated emission factors and/or activity data, enabling the inventory to advance to Tier 2 or Tier 3 GHG estimation approaches</w:t>
            </w:r>
          </w:p>
        </w:tc>
        <w:tc>
          <w:tcPr>
            <w:tcW w:w="761" w:type="pct"/>
            <w:shd w:val="clear" w:color="auto" w:fill="FFFFFF"/>
          </w:tcPr>
          <w:p w14:paraId="4EED342F" w14:textId="77777777" w:rsidR="0015390A" w:rsidRPr="0002770F" w:rsidRDefault="0015390A" w:rsidP="0015390A">
            <w:pPr>
              <w:rPr>
                <w:sz w:val="20"/>
                <w:szCs w:val="20"/>
              </w:rPr>
            </w:pPr>
            <w:r w:rsidRPr="0002770F">
              <w:rPr>
                <w:sz w:val="20"/>
                <w:szCs w:val="20"/>
              </w:rPr>
              <w:t>1.</w:t>
            </w:r>
            <w:r>
              <w:rPr>
                <w:sz w:val="20"/>
                <w:szCs w:val="20"/>
              </w:rPr>
              <w:t>1</w:t>
            </w:r>
            <w:r w:rsidRPr="0002770F">
              <w:rPr>
                <w:sz w:val="20"/>
                <w:szCs w:val="20"/>
              </w:rPr>
              <w:t xml:space="preserve"> </w:t>
            </w:r>
            <w:r>
              <w:rPr>
                <w:sz w:val="20"/>
                <w:szCs w:val="20"/>
              </w:rPr>
              <w:t>Development of Tier 2 emission factors for key fuels: coal, heavy fuel oil, gasoline, diesel, kerosene and liquified petroleum gas – for application in Energy Industries, Transport, Manufacturing Industry and Construction, and Energy Other Sectors</w:t>
            </w:r>
          </w:p>
          <w:p w14:paraId="7CF7D054" w14:textId="77777777" w:rsidR="0015390A" w:rsidRPr="0002770F" w:rsidRDefault="0015390A" w:rsidP="0015390A">
            <w:pPr>
              <w:rPr>
                <w:sz w:val="20"/>
                <w:szCs w:val="20"/>
              </w:rPr>
            </w:pPr>
          </w:p>
          <w:p w14:paraId="4A001DE0" w14:textId="77777777" w:rsidR="0015390A" w:rsidRPr="0002770F" w:rsidRDefault="0015390A" w:rsidP="0015390A">
            <w:pPr>
              <w:rPr>
                <w:sz w:val="20"/>
                <w:szCs w:val="20"/>
              </w:rPr>
            </w:pPr>
            <w:r w:rsidRPr="0002770F">
              <w:rPr>
                <w:sz w:val="20"/>
                <w:szCs w:val="20"/>
              </w:rPr>
              <w:t xml:space="preserve">1.2 </w:t>
            </w:r>
            <w:r>
              <w:rPr>
                <w:sz w:val="20"/>
                <w:szCs w:val="20"/>
              </w:rPr>
              <w:t xml:space="preserve">Development of Tier 3 emission </w:t>
            </w:r>
            <w:r>
              <w:rPr>
                <w:sz w:val="20"/>
                <w:szCs w:val="20"/>
              </w:rPr>
              <w:lastRenderedPageBreak/>
              <w:t>factors for Mauritius’s 9 thermal power plants and a real-time grid emission factor – for application in Energy Industries and (increasingly) Transport</w:t>
            </w:r>
          </w:p>
          <w:p w14:paraId="018701DB" w14:textId="77777777" w:rsidR="0015390A" w:rsidRPr="0002770F" w:rsidRDefault="0015390A" w:rsidP="0015390A">
            <w:pPr>
              <w:rPr>
                <w:sz w:val="20"/>
                <w:szCs w:val="20"/>
              </w:rPr>
            </w:pPr>
          </w:p>
          <w:p w14:paraId="335EDC1E" w14:textId="77777777" w:rsidR="0015390A" w:rsidRDefault="0015390A" w:rsidP="0015390A">
            <w:pPr>
              <w:rPr>
                <w:sz w:val="20"/>
                <w:szCs w:val="20"/>
              </w:rPr>
            </w:pPr>
            <w:r w:rsidRPr="0002770F">
              <w:rPr>
                <w:sz w:val="20"/>
                <w:szCs w:val="20"/>
              </w:rPr>
              <w:t xml:space="preserve">1.3 </w:t>
            </w:r>
            <w:r>
              <w:rPr>
                <w:sz w:val="20"/>
                <w:szCs w:val="20"/>
              </w:rPr>
              <w:t>Development of Tier 2 activity data for Mauritius’s land transport sector (road, Metro), augmented by gender and socio-economic usage data</w:t>
            </w:r>
          </w:p>
          <w:p w14:paraId="592F2F28" w14:textId="77777777" w:rsidR="0015390A" w:rsidRDefault="0015390A" w:rsidP="0015390A">
            <w:pPr>
              <w:rPr>
                <w:sz w:val="20"/>
                <w:szCs w:val="20"/>
              </w:rPr>
            </w:pPr>
          </w:p>
          <w:p w14:paraId="02310915" w14:textId="77777777" w:rsidR="0015390A" w:rsidRDefault="0015390A" w:rsidP="0015390A">
            <w:pPr>
              <w:rPr>
                <w:sz w:val="20"/>
                <w:szCs w:val="20"/>
              </w:rPr>
            </w:pPr>
            <w:r>
              <w:rPr>
                <w:sz w:val="20"/>
                <w:szCs w:val="20"/>
              </w:rPr>
              <w:t>1.4 Development of Tier 2 enteric fermentation emission factors and model for livestock</w:t>
            </w:r>
          </w:p>
          <w:p w14:paraId="2E3629DF" w14:textId="77777777" w:rsidR="0015390A" w:rsidRDefault="0015390A" w:rsidP="0015390A">
            <w:pPr>
              <w:rPr>
                <w:sz w:val="20"/>
                <w:szCs w:val="20"/>
              </w:rPr>
            </w:pPr>
          </w:p>
          <w:p w14:paraId="6EF10F2D" w14:textId="5640A61D" w:rsidR="0015390A" w:rsidRDefault="0015390A" w:rsidP="0015390A">
            <w:pPr>
              <w:rPr>
                <w:sz w:val="20"/>
                <w:szCs w:val="20"/>
              </w:rPr>
            </w:pPr>
            <w:r>
              <w:rPr>
                <w:sz w:val="20"/>
                <w:szCs w:val="20"/>
              </w:rPr>
              <w:t xml:space="preserve">1.5 Development of Tier 2 allometric equations, root-to-shoot ratios </w:t>
            </w:r>
            <w:r w:rsidR="003827BA">
              <w:rPr>
                <w:sz w:val="20"/>
                <w:szCs w:val="20"/>
              </w:rPr>
              <w:t xml:space="preserve">and carbon densities </w:t>
            </w:r>
            <w:r>
              <w:rPr>
                <w:sz w:val="20"/>
                <w:szCs w:val="20"/>
              </w:rPr>
              <w:t>for 4 key tree species in the Mauritian context</w:t>
            </w:r>
          </w:p>
          <w:p w14:paraId="30E026E9" w14:textId="77777777" w:rsidR="0015390A" w:rsidRDefault="0015390A" w:rsidP="0015390A">
            <w:pPr>
              <w:rPr>
                <w:sz w:val="20"/>
                <w:szCs w:val="20"/>
              </w:rPr>
            </w:pPr>
          </w:p>
          <w:p w14:paraId="22419256" w14:textId="669D53AD" w:rsidR="00676A2D" w:rsidRPr="001731CE" w:rsidRDefault="0015390A" w:rsidP="0015390A">
            <w:pPr>
              <w:shd w:val="clear" w:color="auto" w:fill="FFFFFF"/>
              <w:rPr>
                <w:sz w:val="20"/>
                <w:szCs w:val="20"/>
              </w:rPr>
            </w:pPr>
            <w:bookmarkStart w:id="11" w:name="OLE_LINK1"/>
            <w:bookmarkStart w:id="12" w:name="OLE_LINK2"/>
            <w:r>
              <w:rPr>
                <w:sz w:val="20"/>
                <w:szCs w:val="20"/>
              </w:rPr>
              <w:t>1.6 Ground-</w:t>
            </w:r>
            <w:proofErr w:type="spellStart"/>
            <w:r>
              <w:rPr>
                <w:sz w:val="20"/>
                <w:szCs w:val="20"/>
              </w:rPr>
              <w:t>truthed</w:t>
            </w:r>
            <w:proofErr w:type="spellEnd"/>
            <w:r>
              <w:rPr>
                <w:sz w:val="20"/>
                <w:szCs w:val="20"/>
              </w:rPr>
              <w:t xml:space="preserve"> forest inventory of privately-held forestland and non-forest tree cover (e.g. along river </w:t>
            </w:r>
            <w:r>
              <w:rPr>
                <w:sz w:val="20"/>
                <w:szCs w:val="20"/>
              </w:rPr>
              <w:lastRenderedPageBreak/>
              <w:t>banks and roadsides)</w:t>
            </w:r>
            <w:bookmarkEnd w:id="11"/>
            <w:bookmarkEnd w:id="12"/>
          </w:p>
        </w:tc>
        <w:tc>
          <w:tcPr>
            <w:tcW w:w="470" w:type="pct"/>
            <w:shd w:val="clear" w:color="auto" w:fill="FFFFFF"/>
          </w:tcPr>
          <w:p w14:paraId="4897B0FA" w14:textId="77777777" w:rsidR="004C2E97" w:rsidRPr="000C6DB0" w:rsidRDefault="0015390A" w:rsidP="00AA4E74">
            <w:pPr>
              <w:shd w:val="clear" w:color="auto" w:fill="FFFFFF"/>
              <w:rPr>
                <w:color w:val="000000"/>
                <w:sz w:val="20"/>
                <w:szCs w:val="20"/>
              </w:rPr>
            </w:pPr>
            <w:r w:rsidRPr="000C6DB0">
              <w:rPr>
                <w:color w:val="000000"/>
                <w:sz w:val="20"/>
                <w:szCs w:val="20"/>
              </w:rPr>
              <w:lastRenderedPageBreak/>
              <w:t>GEFTF</w:t>
            </w:r>
          </w:p>
        </w:tc>
        <w:tc>
          <w:tcPr>
            <w:tcW w:w="529" w:type="pct"/>
            <w:shd w:val="clear" w:color="auto" w:fill="FFFFFF"/>
          </w:tcPr>
          <w:p w14:paraId="7E6D4873" w14:textId="77777777" w:rsidR="004C2E97" w:rsidRPr="001731CE" w:rsidRDefault="0015390A" w:rsidP="00AA4E74">
            <w:pPr>
              <w:shd w:val="clear" w:color="auto" w:fill="FFFFFF"/>
              <w:jc w:val="right"/>
              <w:rPr>
                <w:color w:val="000000"/>
                <w:sz w:val="20"/>
                <w:szCs w:val="20"/>
              </w:rPr>
            </w:pPr>
            <w:r>
              <w:rPr>
                <w:color w:val="000000"/>
                <w:sz w:val="20"/>
                <w:szCs w:val="20"/>
              </w:rPr>
              <w:t>1,010,000</w:t>
            </w:r>
          </w:p>
        </w:tc>
        <w:tc>
          <w:tcPr>
            <w:tcW w:w="605" w:type="pct"/>
            <w:shd w:val="clear" w:color="auto" w:fill="FFFFFF"/>
          </w:tcPr>
          <w:p w14:paraId="4181579E" w14:textId="77777777" w:rsidR="004C2E97" w:rsidRPr="001731CE" w:rsidRDefault="0015390A" w:rsidP="00AA4E74">
            <w:pPr>
              <w:shd w:val="clear" w:color="auto" w:fill="FFFFFF"/>
              <w:jc w:val="right"/>
              <w:rPr>
                <w:color w:val="000000"/>
                <w:sz w:val="20"/>
                <w:szCs w:val="20"/>
              </w:rPr>
            </w:pPr>
            <w:r>
              <w:rPr>
                <w:color w:val="000000"/>
                <w:sz w:val="20"/>
                <w:szCs w:val="20"/>
              </w:rPr>
              <w:t>550,000</w:t>
            </w:r>
          </w:p>
        </w:tc>
      </w:tr>
      <w:tr w:rsidR="0015390A" w:rsidRPr="001731CE" w14:paraId="2EAD8E59" w14:textId="77777777" w:rsidTr="000C6DB0">
        <w:trPr>
          <w:trHeight w:val="251"/>
        </w:trPr>
        <w:tc>
          <w:tcPr>
            <w:tcW w:w="957" w:type="pct"/>
            <w:shd w:val="clear" w:color="auto" w:fill="FFFFFF"/>
          </w:tcPr>
          <w:p w14:paraId="3724DBBB" w14:textId="77777777" w:rsidR="0015390A" w:rsidRPr="001731CE" w:rsidRDefault="000C6DB0" w:rsidP="00AA4E74">
            <w:pPr>
              <w:shd w:val="clear" w:color="auto" w:fill="FFFFFF"/>
              <w:rPr>
                <w:color w:val="000000"/>
                <w:sz w:val="20"/>
                <w:szCs w:val="20"/>
              </w:rPr>
            </w:pPr>
            <w:r w:rsidRPr="0002770F">
              <w:rPr>
                <w:color w:val="000000"/>
                <w:sz w:val="20"/>
                <w:szCs w:val="20"/>
              </w:rPr>
              <w:lastRenderedPageBreak/>
              <w:t xml:space="preserve">2. </w:t>
            </w:r>
            <w:r>
              <w:rPr>
                <w:color w:val="000000"/>
                <w:sz w:val="20"/>
                <w:szCs w:val="20"/>
              </w:rPr>
              <w:t>Strengthening the national greenhouse gas inventory process</w:t>
            </w:r>
          </w:p>
        </w:tc>
        <w:tc>
          <w:tcPr>
            <w:tcW w:w="938" w:type="pct"/>
            <w:shd w:val="clear" w:color="auto" w:fill="FFFFFF"/>
          </w:tcPr>
          <w:p w14:paraId="1C0E69D4" w14:textId="77777777" w:rsidR="0015390A" w:rsidRDefault="004469F0" w:rsidP="00AA4E74">
            <w:pPr>
              <w:shd w:val="clear" w:color="auto" w:fill="FFFFFF"/>
              <w:rPr>
                <w:color w:val="000000"/>
                <w:sz w:val="20"/>
                <w:szCs w:val="20"/>
              </w:rPr>
            </w:pPr>
            <w:r>
              <w:rPr>
                <w:color w:val="000000"/>
                <w:sz w:val="20"/>
                <w:szCs w:val="20"/>
              </w:rPr>
              <w:fldChar w:fldCharType="begin">
                <w:ffData>
                  <w:name w:val="GrantType_01"/>
                  <w:enabled/>
                  <w:calcOnExit w:val="0"/>
                  <w:helpText w:type="text" w:val="Financing Type. This field has to be filled up as either Technical Assistance or Investment but not both."/>
                  <w:ddList>
                    <w:listEntry w:val="Technical Assistance"/>
                    <w:listEntry w:val="(select)"/>
                    <w:listEntry w:val="Investment"/>
                  </w:ddList>
                </w:ffData>
              </w:fldChar>
            </w:r>
            <w:r>
              <w:rPr>
                <w:color w:val="000000"/>
                <w:sz w:val="20"/>
                <w:szCs w:val="20"/>
              </w:rPr>
              <w:instrText xml:space="preserve"> FORMDROPDOWN </w:instrText>
            </w:r>
            <w:r w:rsidR="00A755A1">
              <w:rPr>
                <w:color w:val="000000"/>
                <w:sz w:val="20"/>
                <w:szCs w:val="20"/>
              </w:rPr>
            </w:r>
            <w:r w:rsidR="00A755A1">
              <w:rPr>
                <w:color w:val="000000"/>
                <w:sz w:val="20"/>
                <w:szCs w:val="20"/>
              </w:rPr>
              <w:fldChar w:fldCharType="separate"/>
            </w:r>
            <w:r>
              <w:rPr>
                <w:color w:val="000000"/>
                <w:sz w:val="20"/>
                <w:szCs w:val="20"/>
              </w:rPr>
              <w:fldChar w:fldCharType="end"/>
            </w:r>
          </w:p>
        </w:tc>
        <w:tc>
          <w:tcPr>
            <w:tcW w:w="741" w:type="pct"/>
            <w:shd w:val="clear" w:color="auto" w:fill="FFFFFF"/>
          </w:tcPr>
          <w:p w14:paraId="6FFEBC22" w14:textId="77777777" w:rsidR="000C6DB0" w:rsidRDefault="000C6DB0" w:rsidP="000C6DB0">
            <w:pPr>
              <w:contextualSpacing/>
              <w:rPr>
                <w:sz w:val="20"/>
                <w:szCs w:val="20"/>
              </w:rPr>
            </w:pPr>
            <w:r w:rsidRPr="0002770F">
              <w:rPr>
                <w:sz w:val="20"/>
                <w:szCs w:val="20"/>
              </w:rPr>
              <w:t xml:space="preserve">2.1 </w:t>
            </w:r>
            <w:r>
              <w:rPr>
                <w:sz w:val="20"/>
                <w:szCs w:val="20"/>
              </w:rPr>
              <w:t>Reduced burden (time, cost) on institutions supplying data to the national greenhouse gas inventory</w:t>
            </w:r>
          </w:p>
          <w:p w14:paraId="1A84678E" w14:textId="77777777" w:rsidR="000C6DB0" w:rsidRDefault="000C6DB0" w:rsidP="000C6DB0">
            <w:pPr>
              <w:contextualSpacing/>
              <w:rPr>
                <w:color w:val="000000"/>
                <w:sz w:val="20"/>
                <w:szCs w:val="20"/>
              </w:rPr>
            </w:pPr>
          </w:p>
          <w:p w14:paraId="64856828" w14:textId="708AD6FC" w:rsidR="0015390A" w:rsidRPr="001731CE" w:rsidRDefault="0015390A" w:rsidP="000C6DB0">
            <w:pPr>
              <w:shd w:val="clear" w:color="auto" w:fill="FFFFFF"/>
              <w:rPr>
                <w:color w:val="000000"/>
                <w:sz w:val="20"/>
                <w:szCs w:val="20"/>
              </w:rPr>
            </w:pPr>
          </w:p>
        </w:tc>
        <w:tc>
          <w:tcPr>
            <w:tcW w:w="761" w:type="pct"/>
            <w:shd w:val="clear" w:color="auto" w:fill="FFFFFF"/>
          </w:tcPr>
          <w:p w14:paraId="6CF9C1DC" w14:textId="314D9165" w:rsidR="000C6DB0" w:rsidRDefault="000C6DB0" w:rsidP="000C6DB0">
            <w:pPr>
              <w:rPr>
                <w:sz w:val="20"/>
                <w:szCs w:val="20"/>
              </w:rPr>
            </w:pPr>
            <w:r>
              <w:rPr>
                <w:sz w:val="20"/>
                <w:szCs w:val="20"/>
              </w:rPr>
              <w:t xml:space="preserve">2.1 </w:t>
            </w:r>
            <w:r w:rsidR="00336AFD">
              <w:rPr>
                <w:sz w:val="20"/>
                <w:szCs w:val="20"/>
              </w:rPr>
              <w:t>Implemented government roadmap</w:t>
            </w:r>
            <w:r>
              <w:rPr>
                <w:sz w:val="20"/>
                <w:szCs w:val="20"/>
              </w:rPr>
              <w:t xml:space="preserve"> for a permanent MRV structure, </w:t>
            </w:r>
            <w:r w:rsidR="00336AFD">
              <w:rPr>
                <w:sz w:val="20"/>
                <w:szCs w:val="20"/>
              </w:rPr>
              <w:t>including</w:t>
            </w:r>
            <w:r>
              <w:rPr>
                <w:sz w:val="20"/>
                <w:szCs w:val="20"/>
              </w:rPr>
              <w:t xml:space="preserve"> firm government financing and institutional commitments</w:t>
            </w:r>
          </w:p>
          <w:p w14:paraId="448F1460" w14:textId="77777777" w:rsidR="000C6DB0" w:rsidRDefault="000C6DB0" w:rsidP="000C6DB0">
            <w:pPr>
              <w:rPr>
                <w:sz w:val="20"/>
                <w:szCs w:val="20"/>
              </w:rPr>
            </w:pPr>
          </w:p>
          <w:p w14:paraId="17B83DF0" w14:textId="0AB5E289" w:rsidR="0015390A" w:rsidRPr="001731CE" w:rsidRDefault="000C6DB0" w:rsidP="008D6406">
            <w:pPr>
              <w:rPr>
                <w:sz w:val="20"/>
                <w:szCs w:val="20"/>
              </w:rPr>
            </w:pPr>
            <w:r>
              <w:rPr>
                <w:sz w:val="20"/>
                <w:szCs w:val="20"/>
              </w:rPr>
              <w:t>2.2 Development of an IT-based system to simplify and streamline the inventory data collection process</w:t>
            </w:r>
          </w:p>
        </w:tc>
        <w:tc>
          <w:tcPr>
            <w:tcW w:w="470" w:type="pct"/>
            <w:shd w:val="clear" w:color="auto" w:fill="FFFFFF"/>
          </w:tcPr>
          <w:p w14:paraId="122CD9BC" w14:textId="77777777" w:rsidR="0015390A" w:rsidRPr="000C6DB0" w:rsidRDefault="000C6DB0" w:rsidP="00AA4E74">
            <w:pPr>
              <w:shd w:val="clear" w:color="auto" w:fill="FFFFFF"/>
              <w:rPr>
                <w:color w:val="000000"/>
                <w:sz w:val="20"/>
                <w:szCs w:val="20"/>
              </w:rPr>
            </w:pPr>
            <w:r w:rsidRPr="000C6DB0">
              <w:rPr>
                <w:color w:val="000000"/>
                <w:sz w:val="20"/>
                <w:szCs w:val="20"/>
              </w:rPr>
              <w:t>GEFTF</w:t>
            </w:r>
          </w:p>
        </w:tc>
        <w:tc>
          <w:tcPr>
            <w:tcW w:w="529" w:type="pct"/>
            <w:shd w:val="clear" w:color="auto" w:fill="FFFFFF"/>
          </w:tcPr>
          <w:p w14:paraId="5DA9C7F4" w14:textId="745471C4" w:rsidR="0015390A" w:rsidRPr="00DC77FA" w:rsidRDefault="00DC77FA" w:rsidP="00AA4E74">
            <w:pPr>
              <w:shd w:val="clear" w:color="auto" w:fill="FFFFFF"/>
              <w:jc w:val="right"/>
              <w:rPr>
                <w:color w:val="000000"/>
                <w:sz w:val="20"/>
                <w:szCs w:val="20"/>
              </w:rPr>
            </w:pPr>
            <w:r w:rsidRPr="00DC77FA">
              <w:rPr>
                <w:color w:val="000000"/>
                <w:sz w:val="20"/>
                <w:szCs w:val="20"/>
              </w:rPr>
              <w:t>100,000</w:t>
            </w:r>
          </w:p>
        </w:tc>
        <w:tc>
          <w:tcPr>
            <w:tcW w:w="605" w:type="pct"/>
            <w:shd w:val="clear" w:color="auto" w:fill="FFFFFF"/>
          </w:tcPr>
          <w:p w14:paraId="5568C07E" w14:textId="00936771" w:rsidR="0015390A" w:rsidRPr="00DC77FA" w:rsidRDefault="001814BA" w:rsidP="00AA4E74">
            <w:pPr>
              <w:shd w:val="clear" w:color="auto" w:fill="FFFFFF"/>
              <w:jc w:val="right"/>
              <w:rPr>
                <w:color w:val="000000"/>
                <w:sz w:val="20"/>
                <w:szCs w:val="20"/>
              </w:rPr>
            </w:pPr>
            <w:r>
              <w:rPr>
                <w:color w:val="000000"/>
                <w:sz w:val="20"/>
                <w:szCs w:val="20"/>
              </w:rPr>
              <w:t>7</w:t>
            </w:r>
            <w:r w:rsidR="008C4B94">
              <w:rPr>
                <w:color w:val="000000"/>
                <w:sz w:val="20"/>
                <w:szCs w:val="20"/>
              </w:rPr>
              <w:t>0</w:t>
            </w:r>
            <w:r w:rsidR="00DC77FA" w:rsidRPr="00DC77FA">
              <w:rPr>
                <w:color w:val="000000"/>
                <w:sz w:val="20"/>
                <w:szCs w:val="20"/>
              </w:rPr>
              <w:t>,000</w:t>
            </w:r>
          </w:p>
        </w:tc>
      </w:tr>
      <w:tr w:rsidR="008D6406" w:rsidRPr="001731CE" w14:paraId="4DFE5B3D" w14:textId="77777777" w:rsidTr="000C6DB0">
        <w:trPr>
          <w:trHeight w:val="251"/>
        </w:trPr>
        <w:tc>
          <w:tcPr>
            <w:tcW w:w="957" w:type="pct"/>
            <w:shd w:val="clear" w:color="auto" w:fill="FFFFFF"/>
          </w:tcPr>
          <w:p w14:paraId="5F8CC2EB" w14:textId="7891B044" w:rsidR="008D6406" w:rsidRPr="0002770F" w:rsidRDefault="008D6406" w:rsidP="00AA4E74">
            <w:pPr>
              <w:shd w:val="clear" w:color="auto" w:fill="FFFFFF"/>
              <w:rPr>
                <w:color w:val="000000"/>
                <w:sz w:val="20"/>
                <w:szCs w:val="20"/>
              </w:rPr>
            </w:pPr>
            <w:r>
              <w:rPr>
                <w:color w:val="000000"/>
                <w:sz w:val="20"/>
                <w:szCs w:val="20"/>
              </w:rPr>
              <w:t xml:space="preserve">3. </w:t>
            </w:r>
            <w:r w:rsidR="00A73C7C">
              <w:rPr>
                <w:color w:val="000000"/>
                <w:sz w:val="20"/>
                <w:szCs w:val="20"/>
              </w:rPr>
              <w:t>Mainstreaming the national greenhouse gas inventory to enhance transparency and support policy-making</w:t>
            </w:r>
          </w:p>
        </w:tc>
        <w:tc>
          <w:tcPr>
            <w:tcW w:w="938" w:type="pct"/>
            <w:shd w:val="clear" w:color="auto" w:fill="FFFFFF"/>
          </w:tcPr>
          <w:p w14:paraId="361E982C" w14:textId="02296AD3" w:rsidR="008D6406" w:rsidRDefault="00677B32" w:rsidP="00AA4E74">
            <w:pPr>
              <w:shd w:val="clear" w:color="auto" w:fill="FFFFFF"/>
              <w:rPr>
                <w:color w:val="000000"/>
                <w:sz w:val="20"/>
                <w:szCs w:val="20"/>
              </w:rPr>
            </w:pPr>
            <w:r>
              <w:rPr>
                <w:color w:val="000000"/>
                <w:sz w:val="20"/>
                <w:szCs w:val="20"/>
              </w:rPr>
              <w:fldChar w:fldCharType="begin">
                <w:ffData>
                  <w:name w:val="GrantType_01"/>
                  <w:enabled/>
                  <w:calcOnExit w:val="0"/>
                  <w:helpText w:type="text" w:val="Financing Type. This field has to be filled up as either Technical Assistance or Investment but not both."/>
                  <w:ddList>
                    <w:listEntry w:val="Technical Assistance"/>
                    <w:listEntry w:val="(select)"/>
                    <w:listEntry w:val="Investment"/>
                  </w:ddList>
                </w:ffData>
              </w:fldChar>
            </w:r>
            <w:r>
              <w:rPr>
                <w:color w:val="000000"/>
                <w:sz w:val="20"/>
                <w:szCs w:val="20"/>
              </w:rPr>
              <w:instrText xml:space="preserve"> FORMDROPDOWN </w:instrText>
            </w:r>
            <w:r w:rsidR="00A755A1">
              <w:rPr>
                <w:color w:val="000000"/>
                <w:sz w:val="20"/>
                <w:szCs w:val="20"/>
              </w:rPr>
            </w:r>
            <w:r w:rsidR="00A755A1">
              <w:rPr>
                <w:color w:val="000000"/>
                <w:sz w:val="20"/>
                <w:szCs w:val="20"/>
              </w:rPr>
              <w:fldChar w:fldCharType="separate"/>
            </w:r>
            <w:r>
              <w:rPr>
                <w:color w:val="000000"/>
                <w:sz w:val="20"/>
                <w:szCs w:val="20"/>
              </w:rPr>
              <w:fldChar w:fldCharType="end"/>
            </w:r>
          </w:p>
        </w:tc>
        <w:tc>
          <w:tcPr>
            <w:tcW w:w="741" w:type="pct"/>
            <w:shd w:val="clear" w:color="auto" w:fill="FFFFFF"/>
          </w:tcPr>
          <w:p w14:paraId="4EC0B1EA" w14:textId="277FF04F" w:rsidR="008D6406" w:rsidRPr="0002770F" w:rsidRDefault="00677B32" w:rsidP="000C6DB0">
            <w:pPr>
              <w:contextualSpacing/>
              <w:rPr>
                <w:sz w:val="20"/>
                <w:szCs w:val="20"/>
              </w:rPr>
            </w:pPr>
            <w:r>
              <w:rPr>
                <w:color w:val="000000"/>
                <w:sz w:val="20"/>
                <w:szCs w:val="20"/>
              </w:rPr>
              <w:t>3.1 Enhanced policy-relevance of the national greenhouse gas inventory, transitioning from a periodic UNFCCC obligation to a useful policy tool</w:t>
            </w:r>
          </w:p>
        </w:tc>
        <w:tc>
          <w:tcPr>
            <w:tcW w:w="761" w:type="pct"/>
            <w:shd w:val="clear" w:color="auto" w:fill="FFFFFF"/>
          </w:tcPr>
          <w:p w14:paraId="33F1EFBD" w14:textId="16686985" w:rsidR="008D6406" w:rsidRDefault="008D6406" w:rsidP="008D6406">
            <w:pPr>
              <w:rPr>
                <w:sz w:val="20"/>
                <w:szCs w:val="20"/>
              </w:rPr>
            </w:pPr>
            <w:r>
              <w:rPr>
                <w:sz w:val="20"/>
                <w:szCs w:val="20"/>
              </w:rPr>
              <w:t>3.1 Targeted training on the use of the new IT-based system and on the use of the inventory for policy formulation, target-setting, scenario analysis and MRV of NDC commitments</w:t>
            </w:r>
          </w:p>
          <w:p w14:paraId="6387063E" w14:textId="77777777" w:rsidR="008D6406" w:rsidRDefault="008D6406" w:rsidP="008D6406">
            <w:pPr>
              <w:rPr>
                <w:sz w:val="20"/>
                <w:szCs w:val="20"/>
              </w:rPr>
            </w:pPr>
          </w:p>
          <w:p w14:paraId="5176475B" w14:textId="17FC23CC" w:rsidR="008D6406" w:rsidRDefault="008D6406" w:rsidP="008D6406">
            <w:pPr>
              <w:rPr>
                <w:sz w:val="20"/>
                <w:szCs w:val="20"/>
              </w:rPr>
            </w:pPr>
            <w:r>
              <w:rPr>
                <w:sz w:val="20"/>
                <w:szCs w:val="20"/>
              </w:rPr>
              <w:t>3.2 Enhancing the role of the Climate Change Information Centre (CCIC) as a transparency portal</w:t>
            </w:r>
          </w:p>
        </w:tc>
        <w:tc>
          <w:tcPr>
            <w:tcW w:w="470" w:type="pct"/>
            <w:shd w:val="clear" w:color="auto" w:fill="FFFFFF"/>
          </w:tcPr>
          <w:p w14:paraId="419C56BC" w14:textId="0C68BE45" w:rsidR="008D6406" w:rsidRPr="000C6DB0" w:rsidRDefault="00D63EA8" w:rsidP="00AA4E74">
            <w:pPr>
              <w:shd w:val="clear" w:color="auto" w:fill="FFFFFF"/>
              <w:rPr>
                <w:color w:val="000000"/>
                <w:sz w:val="20"/>
                <w:szCs w:val="20"/>
              </w:rPr>
            </w:pPr>
            <w:r>
              <w:rPr>
                <w:color w:val="000000"/>
                <w:sz w:val="20"/>
                <w:szCs w:val="20"/>
              </w:rPr>
              <w:t>GEFTF</w:t>
            </w:r>
          </w:p>
        </w:tc>
        <w:tc>
          <w:tcPr>
            <w:tcW w:w="529" w:type="pct"/>
            <w:shd w:val="clear" w:color="auto" w:fill="FFFFFF"/>
          </w:tcPr>
          <w:p w14:paraId="25B83A9F" w14:textId="6B9D5D6E" w:rsidR="008D6406" w:rsidRPr="00DC77FA" w:rsidRDefault="00DC77FA" w:rsidP="00AA4E74">
            <w:pPr>
              <w:shd w:val="clear" w:color="auto" w:fill="FFFFFF"/>
              <w:jc w:val="right"/>
              <w:rPr>
                <w:color w:val="000000"/>
                <w:sz w:val="20"/>
                <w:szCs w:val="20"/>
              </w:rPr>
            </w:pPr>
            <w:r w:rsidRPr="00DC77FA">
              <w:rPr>
                <w:color w:val="000000"/>
                <w:sz w:val="20"/>
                <w:szCs w:val="20"/>
              </w:rPr>
              <w:t>55,000</w:t>
            </w:r>
          </w:p>
        </w:tc>
        <w:tc>
          <w:tcPr>
            <w:tcW w:w="605" w:type="pct"/>
            <w:shd w:val="clear" w:color="auto" w:fill="FFFFFF"/>
          </w:tcPr>
          <w:p w14:paraId="27ADB4D0" w14:textId="3663A48C" w:rsidR="008D6406" w:rsidRPr="00DC77FA" w:rsidRDefault="00DC77FA" w:rsidP="00AA4E74">
            <w:pPr>
              <w:shd w:val="clear" w:color="auto" w:fill="FFFFFF"/>
              <w:jc w:val="right"/>
              <w:rPr>
                <w:color w:val="000000"/>
                <w:sz w:val="20"/>
                <w:szCs w:val="20"/>
              </w:rPr>
            </w:pPr>
            <w:r w:rsidRPr="00DC77FA">
              <w:rPr>
                <w:color w:val="000000"/>
                <w:sz w:val="20"/>
                <w:szCs w:val="20"/>
              </w:rPr>
              <w:t>80,000</w:t>
            </w:r>
          </w:p>
        </w:tc>
      </w:tr>
      <w:tr w:rsidR="00EC7281" w:rsidRPr="001731CE" w14:paraId="105207F7" w14:textId="77777777" w:rsidTr="000C6DB0">
        <w:tc>
          <w:tcPr>
            <w:tcW w:w="3396" w:type="pct"/>
            <w:gridSpan w:val="4"/>
            <w:tcBorders>
              <w:bottom w:val="single" w:sz="4" w:space="0" w:color="auto"/>
            </w:tcBorders>
            <w:shd w:val="clear" w:color="auto" w:fill="FFFFFF"/>
          </w:tcPr>
          <w:p w14:paraId="533AA760" w14:textId="77777777" w:rsidR="00EC7281" w:rsidRPr="001731CE" w:rsidRDefault="00EC7281" w:rsidP="00AA4E74">
            <w:pPr>
              <w:shd w:val="clear" w:color="auto" w:fill="FFFFFF"/>
              <w:jc w:val="right"/>
              <w:rPr>
                <w:color w:val="000000"/>
                <w:sz w:val="20"/>
                <w:szCs w:val="20"/>
              </w:rPr>
            </w:pPr>
            <w:r w:rsidRPr="001731CE">
              <w:rPr>
                <w:color w:val="000000"/>
                <w:sz w:val="20"/>
                <w:szCs w:val="20"/>
              </w:rPr>
              <w:t>Subtotal</w:t>
            </w:r>
          </w:p>
        </w:tc>
        <w:tc>
          <w:tcPr>
            <w:tcW w:w="470" w:type="pct"/>
            <w:tcBorders>
              <w:bottom w:val="single" w:sz="4" w:space="0" w:color="auto"/>
            </w:tcBorders>
            <w:shd w:val="clear" w:color="auto" w:fill="FFFFFF"/>
          </w:tcPr>
          <w:p w14:paraId="0C33ECD0" w14:textId="77777777" w:rsidR="00EC7281" w:rsidRPr="000C6DB0" w:rsidRDefault="000C6DB0" w:rsidP="00AA4E74">
            <w:pPr>
              <w:shd w:val="clear" w:color="auto" w:fill="FFFFFF"/>
              <w:jc w:val="right"/>
              <w:rPr>
                <w:color w:val="000000"/>
                <w:sz w:val="20"/>
                <w:szCs w:val="20"/>
              </w:rPr>
            </w:pPr>
            <w:r w:rsidRPr="000C6DB0">
              <w:rPr>
                <w:color w:val="000000"/>
                <w:sz w:val="20"/>
                <w:szCs w:val="20"/>
              </w:rPr>
              <w:fldChar w:fldCharType="begin">
                <w:ffData>
                  <w:name w:val=""/>
                  <w:enabled/>
                  <w:calcOnExit w:val="0"/>
                  <w:ddList>
                    <w:listEntry w:val="GEFTF"/>
                    <w:listEntry w:val="(select)"/>
                    <w:listEntry w:val="LDCF"/>
                    <w:listEntry w:val="SCCF-A"/>
                    <w:listEntry w:val="SCCF-B"/>
                  </w:ddList>
                </w:ffData>
              </w:fldChar>
            </w:r>
            <w:r w:rsidRPr="000C6DB0">
              <w:rPr>
                <w:color w:val="000000"/>
                <w:sz w:val="20"/>
                <w:szCs w:val="20"/>
              </w:rPr>
              <w:instrText xml:space="preserve"> FORMDROPDOWN </w:instrText>
            </w:r>
            <w:r w:rsidR="00A755A1">
              <w:rPr>
                <w:color w:val="000000"/>
                <w:sz w:val="20"/>
                <w:szCs w:val="20"/>
              </w:rPr>
            </w:r>
            <w:r w:rsidR="00A755A1">
              <w:rPr>
                <w:color w:val="000000"/>
                <w:sz w:val="20"/>
                <w:szCs w:val="20"/>
              </w:rPr>
              <w:fldChar w:fldCharType="separate"/>
            </w:r>
            <w:r w:rsidRPr="000C6DB0">
              <w:rPr>
                <w:color w:val="000000"/>
                <w:sz w:val="20"/>
                <w:szCs w:val="20"/>
              </w:rPr>
              <w:fldChar w:fldCharType="end"/>
            </w:r>
          </w:p>
        </w:tc>
        <w:tc>
          <w:tcPr>
            <w:tcW w:w="529" w:type="pct"/>
            <w:tcBorders>
              <w:bottom w:val="single" w:sz="4" w:space="0" w:color="auto"/>
            </w:tcBorders>
            <w:shd w:val="clear" w:color="auto" w:fill="FFFFFF"/>
          </w:tcPr>
          <w:p w14:paraId="3F10A05C" w14:textId="77777777" w:rsidR="00EC7281" w:rsidRPr="000C6DB0" w:rsidRDefault="000C6DB0" w:rsidP="00AA4E74">
            <w:pPr>
              <w:shd w:val="clear" w:color="auto" w:fill="FFFFFF"/>
              <w:jc w:val="right"/>
              <w:rPr>
                <w:color w:val="000000"/>
                <w:sz w:val="20"/>
                <w:szCs w:val="20"/>
              </w:rPr>
            </w:pPr>
            <w:r w:rsidRPr="000C6DB0">
              <w:rPr>
                <w:color w:val="000000"/>
                <w:sz w:val="20"/>
                <w:szCs w:val="20"/>
              </w:rPr>
              <w:t>1,165,000</w:t>
            </w:r>
          </w:p>
        </w:tc>
        <w:tc>
          <w:tcPr>
            <w:tcW w:w="605" w:type="pct"/>
            <w:tcBorders>
              <w:bottom w:val="single" w:sz="4" w:space="0" w:color="auto"/>
            </w:tcBorders>
            <w:shd w:val="clear" w:color="auto" w:fill="FFFFFF"/>
          </w:tcPr>
          <w:p w14:paraId="7BE4B71F" w14:textId="4F0AB58C" w:rsidR="00EC7281" w:rsidRPr="000C6DB0" w:rsidRDefault="008C4B94" w:rsidP="00AA4E74">
            <w:pPr>
              <w:shd w:val="clear" w:color="auto" w:fill="FFFFFF"/>
              <w:jc w:val="right"/>
              <w:rPr>
                <w:color w:val="000000"/>
                <w:sz w:val="20"/>
                <w:szCs w:val="20"/>
              </w:rPr>
            </w:pPr>
            <w:r>
              <w:rPr>
                <w:color w:val="000000"/>
                <w:sz w:val="20"/>
                <w:szCs w:val="20"/>
              </w:rPr>
              <w:t>7</w:t>
            </w:r>
            <w:r w:rsidR="001814BA">
              <w:rPr>
                <w:color w:val="000000"/>
                <w:sz w:val="20"/>
                <w:szCs w:val="20"/>
              </w:rPr>
              <w:t>0</w:t>
            </w:r>
            <w:r>
              <w:rPr>
                <w:color w:val="000000"/>
                <w:sz w:val="20"/>
                <w:szCs w:val="20"/>
              </w:rPr>
              <w:t>0</w:t>
            </w:r>
            <w:r w:rsidR="000C6DB0" w:rsidRPr="000C6DB0">
              <w:rPr>
                <w:color w:val="000000"/>
                <w:sz w:val="20"/>
                <w:szCs w:val="20"/>
              </w:rPr>
              <w:t>,000</w:t>
            </w:r>
          </w:p>
        </w:tc>
      </w:tr>
      <w:tr w:rsidR="00EC7281" w:rsidRPr="001731CE" w14:paraId="1680D0B7" w14:textId="77777777" w:rsidTr="000C6DB0">
        <w:trPr>
          <w:trHeight w:val="215"/>
        </w:trPr>
        <w:tc>
          <w:tcPr>
            <w:tcW w:w="3396" w:type="pct"/>
            <w:gridSpan w:val="4"/>
            <w:tcBorders>
              <w:top w:val="single" w:sz="4" w:space="0" w:color="auto"/>
              <w:left w:val="single" w:sz="4" w:space="0" w:color="auto"/>
              <w:bottom w:val="single" w:sz="4" w:space="0" w:color="auto"/>
              <w:right w:val="single" w:sz="4" w:space="0" w:color="auto"/>
            </w:tcBorders>
            <w:shd w:val="clear" w:color="auto" w:fill="FFFFFF"/>
          </w:tcPr>
          <w:p w14:paraId="36085131" w14:textId="77777777" w:rsidR="00EC7281" w:rsidRPr="001731CE" w:rsidRDefault="00EC7281" w:rsidP="00AA4E74">
            <w:pPr>
              <w:shd w:val="clear" w:color="auto" w:fill="FFFFFF"/>
              <w:jc w:val="right"/>
              <w:rPr>
                <w:color w:val="000000"/>
                <w:sz w:val="20"/>
                <w:szCs w:val="20"/>
              </w:rPr>
            </w:pPr>
            <w:bookmarkStart w:id="13" w:name="PMC"/>
            <w:r w:rsidRPr="001731CE">
              <w:rPr>
                <w:color w:val="000000"/>
                <w:sz w:val="20"/>
                <w:szCs w:val="20"/>
              </w:rPr>
              <w:t>Project Management Cost (PMC</w:t>
            </w:r>
            <w:r w:rsidR="00134B58" w:rsidRPr="001731CE">
              <w:rPr>
                <w:color w:val="000000"/>
                <w:sz w:val="20"/>
                <w:szCs w:val="20"/>
              </w:rPr>
              <w:t>)</w:t>
            </w:r>
            <w:bookmarkEnd w:id="13"/>
          </w:p>
        </w:tc>
        <w:tc>
          <w:tcPr>
            <w:tcW w:w="470" w:type="pct"/>
            <w:tcBorders>
              <w:top w:val="single" w:sz="4" w:space="0" w:color="auto"/>
              <w:left w:val="single" w:sz="4" w:space="0" w:color="auto"/>
              <w:bottom w:val="single" w:sz="4" w:space="0" w:color="auto"/>
            </w:tcBorders>
            <w:shd w:val="clear" w:color="auto" w:fill="FFFFFF"/>
          </w:tcPr>
          <w:p w14:paraId="781FA30F" w14:textId="77777777" w:rsidR="00EC7281" w:rsidRPr="000C6DB0" w:rsidRDefault="000C6DB0" w:rsidP="00AA4E74">
            <w:pPr>
              <w:shd w:val="clear" w:color="auto" w:fill="FFFFFF"/>
              <w:rPr>
                <w:color w:val="000000"/>
                <w:sz w:val="20"/>
                <w:szCs w:val="20"/>
              </w:rPr>
            </w:pPr>
            <w:r>
              <w:rPr>
                <w:color w:val="000000"/>
                <w:sz w:val="20"/>
                <w:szCs w:val="20"/>
              </w:rPr>
              <w:fldChar w:fldCharType="begin">
                <w:ffData>
                  <w:name w:val=""/>
                  <w:enabled/>
                  <w:calcOnExit w:val="0"/>
                  <w:ddList>
                    <w:listEntry w:val="GEFTF"/>
                    <w:listEntry w:val="(select)"/>
                    <w:listEntry w:val="LDCF"/>
                    <w:listEntry w:val="SCCF-A"/>
                    <w:listEntry w:val="SCCF-B"/>
                  </w:ddList>
                </w:ffData>
              </w:fldChar>
            </w:r>
            <w:r>
              <w:rPr>
                <w:color w:val="000000"/>
                <w:sz w:val="20"/>
                <w:szCs w:val="20"/>
              </w:rPr>
              <w:instrText xml:space="preserve"> FORMDROPDOWN </w:instrText>
            </w:r>
            <w:r w:rsidR="00A755A1">
              <w:rPr>
                <w:color w:val="000000"/>
                <w:sz w:val="20"/>
                <w:szCs w:val="20"/>
              </w:rPr>
            </w:r>
            <w:r w:rsidR="00A755A1">
              <w:rPr>
                <w:color w:val="000000"/>
                <w:sz w:val="20"/>
                <w:szCs w:val="20"/>
              </w:rPr>
              <w:fldChar w:fldCharType="separate"/>
            </w:r>
            <w:r>
              <w:rPr>
                <w:color w:val="000000"/>
                <w:sz w:val="20"/>
                <w:szCs w:val="20"/>
              </w:rPr>
              <w:fldChar w:fldCharType="end"/>
            </w:r>
          </w:p>
        </w:tc>
        <w:tc>
          <w:tcPr>
            <w:tcW w:w="529" w:type="pct"/>
            <w:tcBorders>
              <w:top w:val="single" w:sz="4" w:space="0" w:color="auto"/>
              <w:bottom w:val="single" w:sz="4" w:space="0" w:color="auto"/>
              <w:right w:val="single" w:sz="4" w:space="0" w:color="auto"/>
            </w:tcBorders>
            <w:shd w:val="clear" w:color="auto" w:fill="FFFFFF"/>
          </w:tcPr>
          <w:p w14:paraId="70BF639E" w14:textId="77777777" w:rsidR="00EC7281" w:rsidRPr="000C6DB0" w:rsidRDefault="000C6DB0" w:rsidP="00AA4E74">
            <w:pPr>
              <w:shd w:val="clear" w:color="auto" w:fill="FFFFFF"/>
              <w:jc w:val="right"/>
              <w:rPr>
                <w:color w:val="000000"/>
                <w:sz w:val="20"/>
                <w:szCs w:val="20"/>
              </w:rPr>
            </w:pPr>
            <w:r>
              <w:rPr>
                <w:color w:val="000000"/>
                <w:sz w:val="20"/>
                <w:szCs w:val="20"/>
              </w:rPr>
              <w:t>104,850</w:t>
            </w:r>
          </w:p>
        </w:tc>
        <w:tc>
          <w:tcPr>
            <w:tcW w:w="605" w:type="pct"/>
            <w:tcBorders>
              <w:top w:val="single" w:sz="4" w:space="0" w:color="auto"/>
              <w:left w:val="single" w:sz="4" w:space="0" w:color="auto"/>
              <w:bottom w:val="single" w:sz="4" w:space="0" w:color="auto"/>
              <w:right w:val="single" w:sz="4" w:space="0" w:color="auto"/>
            </w:tcBorders>
            <w:shd w:val="clear" w:color="auto" w:fill="FFFFFF"/>
          </w:tcPr>
          <w:p w14:paraId="795D9743" w14:textId="595F05B4" w:rsidR="00EC7281" w:rsidRPr="000C6DB0" w:rsidRDefault="008C4B94" w:rsidP="00AA4E74">
            <w:pPr>
              <w:shd w:val="clear" w:color="auto" w:fill="FFFFFF"/>
              <w:jc w:val="right"/>
              <w:rPr>
                <w:color w:val="000000"/>
                <w:sz w:val="20"/>
                <w:szCs w:val="20"/>
              </w:rPr>
            </w:pPr>
            <w:r>
              <w:rPr>
                <w:color w:val="000000"/>
                <w:sz w:val="20"/>
                <w:szCs w:val="20"/>
              </w:rPr>
              <w:t>70</w:t>
            </w:r>
            <w:r w:rsidR="000C6DB0">
              <w:rPr>
                <w:color w:val="000000"/>
                <w:sz w:val="20"/>
                <w:szCs w:val="20"/>
              </w:rPr>
              <w:t>,000</w:t>
            </w:r>
          </w:p>
        </w:tc>
      </w:tr>
      <w:tr w:rsidR="00EC7281" w:rsidRPr="001731CE" w14:paraId="1250BA12" w14:textId="77777777" w:rsidTr="000C6DB0">
        <w:tc>
          <w:tcPr>
            <w:tcW w:w="3396" w:type="pct"/>
            <w:gridSpan w:val="4"/>
            <w:tcBorders>
              <w:top w:val="single" w:sz="4" w:space="0" w:color="auto"/>
              <w:bottom w:val="double" w:sz="4" w:space="0" w:color="auto"/>
            </w:tcBorders>
            <w:shd w:val="clear" w:color="auto" w:fill="FFFFFF"/>
          </w:tcPr>
          <w:p w14:paraId="66D3BB32" w14:textId="77777777" w:rsidR="00EC7281" w:rsidRPr="001731CE" w:rsidRDefault="00EC7281" w:rsidP="00AA4E74">
            <w:pPr>
              <w:shd w:val="clear" w:color="auto" w:fill="FFFFFF"/>
              <w:jc w:val="right"/>
              <w:rPr>
                <w:b/>
                <w:color w:val="000000"/>
                <w:sz w:val="20"/>
                <w:szCs w:val="20"/>
              </w:rPr>
            </w:pPr>
            <w:r w:rsidRPr="001731CE">
              <w:rPr>
                <w:b/>
                <w:color w:val="000000"/>
                <w:sz w:val="20"/>
                <w:szCs w:val="20"/>
              </w:rPr>
              <w:t>Total Project Cost</w:t>
            </w:r>
          </w:p>
        </w:tc>
        <w:tc>
          <w:tcPr>
            <w:tcW w:w="470" w:type="pct"/>
            <w:tcBorders>
              <w:top w:val="single" w:sz="4" w:space="0" w:color="auto"/>
              <w:bottom w:val="double" w:sz="4" w:space="0" w:color="auto"/>
            </w:tcBorders>
            <w:shd w:val="clear" w:color="auto" w:fill="FFFFFF"/>
          </w:tcPr>
          <w:p w14:paraId="63C14846" w14:textId="77777777" w:rsidR="00EC7281" w:rsidRPr="000C6DB0" w:rsidRDefault="00EC7281" w:rsidP="00AA4E74">
            <w:pPr>
              <w:shd w:val="clear" w:color="auto" w:fill="FFFFFF"/>
              <w:jc w:val="right"/>
              <w:rPr>
                <w:color w:val="000000"/>
                <w:sz w:val="20"/>
                <w:szCs w:val="20"/>
              </w:rPr>
            </w:pPr>
          </w:p>
        </w:tc>
        <w:tc>
          <w:tcPr>
            <w:tcW w:w="529" w:type="pct"/>
            <w:tcBorders>
              <w:top w:val="single" w:sz="4" w:space="0" w:color="auto"/>
              <w:bottom w:val="double" w:sz="4" w:space="0" w:color="auto"/>
            </w:tcBorders>
            <w:shd w:val="clear" w:color="auto" w:fill="FFFFFF"/>
          </w:tcPr>
          <w:p w14:paraId="08FEA0D7" w14:textId="77777777" w:rsidR="00EC7281" w:rsidRPr="000C6DB0" w:rsidRDefault="000C6DB0" w:rsidP="00AA4E74">
            <w:pPr>
              <w:shd w:val="clear" w:color="auto" w:fill="FFFFFF"/>
              <w:jc w:val="right"/>
              <w:rPr>
                <w:color w:val="000000"/>
                <w:sz w:val="20"/>
                <w:szCs w:val="20"/>
              </w:rPr>
            </w:pPr>
            <w:r>
              <w:rPr>
                <w:color w:val="000000"/>
                <w:sz w:val="20"/>
                <w:szCs w:val="20"/>
              </w:rPr>
              <w:t>1,269,850</w:t>
            </w:r>
          </w:p>
        </w:tc>
        <w:tc>
          <w:tcPr>
            <w:tcW w:w="605" w:type="pct"/>
            <w:tcBorders>
              <w:top w:val="single" w:sz="4" w:space="0" w:color="auto"/>
              <w:bottom w:val="double" w:sz="4" w:space="0" w:color="auto"/>
            </w:tcBorders>
            <w:shd w:val="clear" w:color="auto" w:fill="FFFFFF"/>
          </w:tcPr>
          <w:p w14:paraId="2B6D11CD" w14:textId="1CD5BDF6" w:rsidR="00EC7281" w:rsidRPr="000C6DB0" w:rsidRDefault="000C6DB0" w:rsidP="00AA4E74">
            <w:pPr>
              <w:shd w:val="clear" w:color="auto" w:fill="FFFFFF"/>
              <w:jc w:val="right"/>
              <w:rPr>
                <w:color w:val="000000"/>
                <w:sz w:val="20"/>
                <w:szCs w:val="20"/>
              </w:rPr>
            </w:pPr>
            <w:r>
              <w:rPr>
                <w:color w:val="000000"/>
                <w:sz w:val="20"/>
                <w:szCs w:val="20"/>
              </w:rPr>
              <w:t>7</w:t>
            </w:r>
            <w:r w:rsidR="001814BA">
              <w:rPr>
                <w:color w:val="000000"/>
                <w:sz w:val="20"/>
                <w:szCs w:val="20"/>
              </w:rPr>
              <w:t>7</w:t>
            </w:r>
            <w:r>
              <w:rPr>
                <w:color w:val="000000"/>
                <w:sz w:val="20"/>
                <w:szCs w:val="20"/>
              </w:rPr>
              <w:t>0,000</w:t>
            </w:r>
          </w:p>
        </w:tc>
      </w:tr>
    </w:tbl>
    <w:p w14:paraId="3DFEFACA" w14:textId="77777777" w:rsidR="00134B58" w:rsidRPr="001731CE" w:rsidRDefault="00134B58" w:rsidP="00AA4E74">
      <w:pPr>
        <w:pStyle w:val="GEFInstruction"/>
        <w:shd w:val="clear" w:color="auto" w:fill="FFFFFF"/>
        <w:ind w:left="-720"/>
      </w:pPr>
      <w:r w:rsidRPr="001731CE">
        <w:t>For multi-trust fund projects, provide the total amount of PMC in Table B, and indicate the split of PMC among the different trust funds here: (</w:t>
      </w:r>
      <w:r w:rsidRPr="001731CE">
        <w:fldChar w:fldCharType="begin">
          <w:ffData>
            <w:name w:val="mtf_breakdown"/>
            <w:enabled/>
            <w:calcOnExit/>
            <w:textInput/>
          </w:ffData>
        </w:fldChar>
      </w:r>
      <w:bookmarkStart w:id="14" w:name="mtf_breakdown"/>
      <w:r w:rsidRPr="001731CE">
        <w:instrText xml:space="preserve"> FORMTEXT </w:instrText>
      </w:r>
      <w:r w:rsidRPr="001731CE">
        <w:fldChar w:fldCharType="separate"/>
      </w:r>
      <w:r w:rsidRPr="001731CE">
        <w:rPr>
          <w:noProof/>
        </w:rPr>
        <w:t> </w:t>
      </w:r>
      <w:r w:rsidRPr="001731CE">
        <w:rPr>
          <w:noProof/>
        </w:rPr>
        <w:t> </w:t>
      </w:r>
      <w:r w:rsidRPr="001731CE">
        <w:rPr>
          <w:noProof/>
        </w:rPr>
        <w:t> </w:t>
      </w:r>
      <w:r w:rsidRPr="001731CE">
        <w:rPr>
          <w:noProof/>
        </w:rPr>
        <w:t> </w:t>
      </w:r>
      <w:r w:rsidRPr="001731CE">
        <w:rPr>
          <w:noProof/>
        </w:rPr>
        <w:t> </w:t>
      </w:r>
      <w:r w:rsidRPr="001731CE">
        <w:fldChar w:fldCharType="end"/>
      </w:r>
      <w:bookmarkEnd w:id="14"/>
      <w:r w:rsidRPr="001731CE">
        <w:t>)</w:t>
      </w:r>
    </w:p>
    <w:p w14:paraId="79E7DE56" w14:textId="77777777" w:rsidR="006E694C" w:rsidRDefault="006E694C" w:rsidP="00AA4E74">
      <w:pPr>
        <w:shd w:val="clear" w:color="auto" w:fill="FFFFFF"/>
      </w:pPr>
    </w:p>
    <w:p w14:paraId="438CE5B7" w14:textId="77777777" w:rsidR="00676A2D" w:rsidRDefault="00676A2D" w:rsidP="00AA4E74">
      <w:pPr>
        <w:shd w:val="clear" w:color="auto" w:fill="FFFFFF"/>
      </w:pPr>
    </w:p>
    <w:p w14:paraId="0F556351" w14:textId="77777777" w:rsidR="00676A2D" w:rsidRDefault="00676A2D" w:rsidP="00AA4E74">
      <w:pPr>
        <w:shd w:val="clear" w:color="auto" w:fill="FFFFFF"/>
      </w:pPr>
    </w:p>
    <w:p w14:paraId="59CFD8FD" w14:textId="77777777" w:rsidR="00676A2D" w:rsidRDefault="00676A2D" w:rsidP="00AA4E74">
      <w:pPr>
        <w:shd w:val="clear" w:color="auto" w:fill="FFFFFF"/>
      </w:pPr>
    </w:p>
    <w:p w14:paraId="619C171F" w14:textId="77777777" w:rsidR="00676A2D" w:rsidRPr="001731CE" w:rsidRDefault="00676A2D" w:rsidP="00AA4E74">
      <w:pPr>
        <w:shd w:val="clear" w:color="auto" w:fill="FFFFFF"/>
      </w:pPr>
    </w:p>
    <w:p w14:paraId="4F4989F8" w14:textId="77777777" w:rsidR="00007668" w:rsidRPr="001731CE" w:rsidRDefault="00155122" w:rsidP="00AA4E74">
      <w:pPr>
        <w:pStyle w:val="GEFInstruction"/>
        <w:shd w:val="clear" w:color="auto" w:fill="FFFFFF"/>
        <w:ind w:left="-720"/>
        <w:rPr>
          <w:b/>
          <w:smallCaps/>
          <w:sz w:val="22"/>
        </w:rPr>
      </w:pPr>
      <w:r w:rsidRPr="001731CE">
        <w:rPr>
          <w:b/>
          <w:smallCaps/>
          <w:sz w:val="22"/>
        </w:rPr>
        <w:t xml:space="preserve">C. </w:t>
      </w:r>
      <w:r w:rsidR="00407952" w:rsidRPr="001731CE">
        <w:rPr>
          <w:b/>
          <w:smallCaps/>
          <w:sz w:val="22"/>
        </w:rPr>
        <w:t>Indicative</w:t>
      </w:r>
      <w:r w:rsidR="007D2EF6" w:rsidRPr="001731CE">
        <w:rPr>
          <w:b/>
          <w:smallCaps/>
          <w:sz w:val="22"/>
        </w:rPr>
        <w:t xml:space="preserve"> sources of </w:t>
      </w:r>
      <w:r w:rsidR="00407952" w:rsidRPr="001731CE">
        <w:rPr>
          <w:rFonts w:ascii="Times New Roman Bold" w:hAnsi="Times New Roman Bold"/>
          <w:b/>
          <w:smallCaps/>
          <w:sz w:val="22"/>
        </w:rPr>
        <w:t xml:space="preserve"> Co-financing</w:t>
      </w:r>
      <w:r w:rsidR="00407952" w:rsidRPr="001731CE">
        <w:rPr>
          <w:b/>
          <w:smallCaps/>
          <w:sz w:val="22"/>
        </w:rPr>
        <w:t xml:space="preserve"> for the project by </w:t>
      </w:r>
      <w:r w:rsidR="005942E4" w:rsidRPr="001731CE">
        <w:rPr>
          <w:b/>
          <w:smallCaps/>
          <w:sz w:val="22"/>
        </w:rPr>
        <w:t xml:space="preserve">name and by </w:t>
      </w:r>
      <w:r w:rsidR="007D2EF6" w:rsidRPr="001731CE">
        <w:rPr>
          <w:b/>
          <w:smallCaps/>
          <w:sz w:val="22"/>
        </w:rPr>
        <w:t>type</w:t>
      </w:r>
      <w:r w:rsidR="005942E4" w:rsidRPr="001731CE">
        <w:rPr>
          <w:b/>
          <w:smallCaps/>
          <w:sz w:val="22"/>
        </w:rPr>
        <w:t>,</w:t>
      </w:r>
      <w:r w:rsidR="00407952" w:rsidRPr="001731CE">
        <w:rPr>
          <w:b/>
          <w:smallCaps/>
          <w:sz w:val="22"/>
        </w:rPr>
        <w:t xml:space="preserve"> if </w:t>
      </w:r>
      <w:r w:rsidR="007D2EF6" w:rsidRPr="001731CE">
        <w:rPr>
          <w:b/>
          <w:smallCaps/>
          <w:sz w:val="22"/>
        </w:rPr>
        <w:t>available</w:t>
      </w:r>
      <w:r w:rsidR="00007668" w:rsidRPr="001731CE">
        <w:rPr>
          <w:b/>
          <w:smallCaps/>
          <w:sz w:val="22"/>
        </w:rPr>
        <w:t xml:space="preserve">                                                                                               </w:t>
      </w:r>
    </w:p>
    <w:tbl>
      <w:tblPr>
        <w:tblW w:w="518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3"/>
        <w:gridCol w:w="3341"/>
        <w:gridCol w:w="1432"/>
        <w:gridCol w:w="1955"/>
        <w:gridCol w:w="1221"/>
      </w:tblGrid>
      <w:tr w:rsidR="0042495A" w:rsidRPr="001731CE" w14:paraId="0AF9DC88" w14:textId="77777777" w:rsidTr="001A17CC">
        <w:trPr>
          <w:cantSplit/>
        </w:trPr>
        <w:tc>
          <w:tcPr>
            <w:tcW w:w="1015" w:type="pct"/>
            <w:vAlign w:val="center"/>
          </w:tcPr>
          <w:p w14:paraId="533ECB54" w14:textId="77777777" w:rsidR="0042495A" w:rsidRPr="001731CE" w:rsidRDefault="0042495A" w:rsidP="00AA4E74">
            <w:pPr>
              <w:shd w:val="clear" w:color="auto" w:fill="FFFFFF"/>
              <w:jc w:val="center"/>
              <w:rPr>
                <w:b/>
                <w:color w:val="000000"/>
                <w:sz w:val="22"/>
                <w:szCs w:val="22"/>
              </w:rPr>
            </w:pPr>
            <w:r w:rsidRPr="001731CE">
              <w:rPr>
                <w:b/>
                <w:color w:val="000000"/>
                <w:sz w:val="22"/>
                <w:szCs w:val="22"/>
              </w:rPr>
              <w:t xml:space="preserve">Sources of Co-financing </w:t>
            </w:r>
          </w:p>
        </w:tc>
        <w:tc>
          <w:tcPr>
            <w:tcW w:w="1675" w:type="pct"/>
            <w:vAlign w:val="center"/>
          </w:tcPr>
          <w:p w14:paraId="2B0B465C" w14:textId="77777777" w:rsidR="0042495A" w:rsidRPr="001731CE" w:rsidRDefault="0042495A" w:rsidP="00AA4E74">
            <w:pPr>
              <w:shd w:val="clear" w:color="auto" w:fill="FFFFFF"/>
              <w:jc w:val="center"/>
              <w:rPr>
                <w:b/>
                <w:color w:val="000000"/>
                <w:sz w:val="22"/>
                <w:szCs w:val="22"/>
              </w:rPr>
            </w:pPr>
            <w:r w:rsidRPr="001731CE">
              <w:rPr>
                <w:b/>
                <w:color w:val="000000"/>
                <w:sz w:val="22"/>
                <w:szCs w:val="22"/>
              </w:rPr>
              <w:t>Name of Co-financier</w:t>
            </w:r>
          </w:p>
        </w:tc>
        <w:tc>
          <w:tcPr>
            <w:tcW w:w="718" w:type="pct"/>
            <w:shd w:val="clear" w:color="auto" w:fill="auto"/>
            <w:vAlign w:val="center"/>
          </w:tcPr>
          <w:p w14:paraId="6A970006" w14:textId="77777777" w:rsidR="0042495A" w:rsidRPr="001731CE" w:rsidRDefault="0042495A" w:rsidP="00AA4E74">
            <w:pPr>
              <w:shd w:val="clear" w:color="auto" w:fill="FFFFFF"/>
              <w:ind w:left="5"/>
              <w:jc w:val="center"/>
              <w:rPr>
                <w:b/>
                <w:color w:val="000000"/>
                <w:sz w:val="22"/>
                <w:szCs w:val="22"/>
              </w:rPr>
            </w:pPr>
            <w:r w:rsidRPr="001731CE">
              <w:rPr>
                <w:b/>
                <w:color w:val="000000"/>
                <w:sz w:val="22"/>
                <w:szCs w:val="22"/>
              </w:rPr>
              <w:t>Type of Co-financing</w:t>
            </w:r>
          </w:p>
        </w:tc>
        <w:tc>
          <w:tcPr>
            <w:tcW w:w="980" w:type="pct"/>
            <w:shd w:val="clear" w:color="auto" w:fill="auto"/>
            <w:vAlign w:val="center"/>
          </w:tcPr>
          <w:p w14:paraId="3DE8E6C2" w14:textId="77777777" w:rsidR="0042495A" w:rsidRPr="001731CE" w:rsidRDefault="0042495A" w:rsidP="00AA4E74">
            <w:pPr>
              <w:shd w:val="clear" w:color="auto" w:fill="FFFFFF"/>
              <w:ind w:left="5"/>
              <w:jc w:val="center"/>
              <w:rPr>
                <w:b/>
                <w:color w:val="000000"/>
                <w:sz w:val="22"/>
                <w:szCs w:val="22"/>
              </w:rPr>
            </w:pPr>
            <w:r w:rsidRPr="001731CE">
              <w:rPr>
                <w:b/>
                <w:color w:val="000000"/>
                <w:sz w:val="22"/>
                <w:szCs w:val="22"/>
              </w:rPr>
              <w:t>Investment</w:t>
            </w:r>
          </w:p>
          <w:p w14:paraId="2AE96EA1" w14:textId="77777777" w:rsidR="0042495A" w:rsidRPr="001731CE" w:rsidRDefault="0042495A" w:rsidP="00AA4E74">
            <w:pPr>
              <w:shd w:val="clear" w:color="auto" w:fill="FFFFFF"/>
              <w:ind w:left="5"/>
              <w:jc w:val="center"/>
              <w:rPr>
                <w:b/>
                <w:color w:val="000000"/>
                <w:sz w:val="22"/>
                <w:szCs w:val="22"/>
              </w:rPr>
            </w:pPr>
            <w:r w:rsidRPr="001731CE">
              <w:rPr>
                <w:b/>
                <w:color w:val="000000"/>
                <w:sz w:val="22"/>
                <w:szCs w:val="22"/>
              </w:rPr>
              <w:t>Mobilized</w:t>
            </w:r>
          </w:p>
        </w:tc>
        <w:tc>
          <w:tcPr>
            <w:tcW w:w="612" w:type="pct"/>
            <w:vAlign w:val="center"/>
          </w:tcPr>
          <w:p w14:paraId="5845DB45" w14:textId="77777777" w:rsidR="0042495A" w:rsidRPr="001731CE" w:rsidRDefault="0042495A" w:rsidP="00AA4E74">
            <w:pPr>
              <w:shd w:val="clear" w:color="auto" w:fill="FFFFFF"/>
              <w:ind w:left="-6"/>
              <w:jc w:val="center"/>
              <w:rPr>
                <w:b/>
                <w:color w:val="000000"/>
                <w:sz w:val="22"/>
                <w:szCs w:val="22"/>
              </w:rPr>
            </w:pPr>
            <w:r w:rsidRPr="001731CE">
              <w:rPr>
                <w:b/>
                <w:color w:val="000000"/>
                <w:sz w:val="22"/>
                <w:szCs w:val="22"/>
              </w:rPr>
              <w:t>Amount ($)</w:t>
            </w:r>
          </w:p>
        </w:tc>
      </w:tr>
      <w:tr w:rsidR="0042495A" w:rsidRPr="001731CE" w14:paraId="66A200E7" w14:textId="77777777" w:rsidTr="001A17CC">
        <w:trPr>
          <w:cantSplit/>
        </w:trPr>
        <w:tc>
          <w:tcPr>
            <w:tcW w:w="1015" w:type="pct"/>
          </w:tcPr>
          <w:p w14:paraId="2E8E078D" w14:textId="0FCE500D" w:rsidR="0042495A" w:rsidRPr="001731CE" w:rsidRDefault="001814BA" w:rsidP="00AA4E74">
            <w:pPr>
              <w:shd w:val="clear" w:color="auto" w:fill="FFFFFF"/>
              <w:rPr>
                <w:color w:val="000000"/>
                <w:sz w:val="20"/>
                <w:szCs w:val="20"/>
              </w:rPr>
            </w:pPr>
            <w:r>
              <w:rPr>
                <w:color w:val="000000"/>
                <w:sz w:val="20"/>
                <w:szCs w:val="20"/>
              </w:rPr>
              <w:t>Donor Agency</w:t>
            </w:r>
          </w:p>
        </w:tc>
        <w:tc>
          <w:tcPr>
            <w:tcW w:w="1675" w:type="pct"/>
          </w:tcPr>
          <w:p w14:paraId="19C48444" w14:textId="66DD131D" w:rsidR="0042495A" w:rsidRPr="001731CE" w:rsidRDefault="001814BA" w:rsidP="00AA4E74">
            <w:pPr>
              <w:shd w:val="clear" w:color="auto" w:fill="FFFFFF"/>
              <w:rPr>
                <w:color w:val="000000"/>
                <w:sz w:val="20"/>
                <w:szCs w:val="20"/>
              </w:rPr>
            </w:pPr>
            <w:r w:rsidRPr="00FE04C8">
              <w:rPr>
                <w:color w:val="000000"/>
                <w:sz w:val="20"/>
                <w:szCs w:val="20"/>
              </w:rPr>
              <w:t xml:space="preserve">Agence </w:t>
            </w:r>
            <w:proofErr w:type="spellStart"/>
            <w:r w:rsidRPr="00FE04C8">
              <w:rPr>
                <w:color w:val="000000"/>
                <w:sz w:val="20"/>
                <w:szCs w:val="20"/>
              </w:rPr>
              <w:t>Francaise</w:t>
            </w:r>
            <w:proofErr w:type="spellEnd"/>
            <w:r w:rsidRPr="00FE04C8">
              <w:rPr>
                <w:color w:val="000000"/>
                <w:sz w:val="20"/>
                <w:szCs w:val="20"/>
              </w:rPr>
              <w:t xml:space="preserve"> de </w:t>
            </w:r>
            <w:proofErr w:type="spellStart"/>
            <w:r w:rsidRPr="00FE04C8">
              <w:rPr>
                <w:color w:val="000000"/>
                <w:sz w:val="20"/>
                <w:szCs w:val="20"/>
              </w:rPr>
              <w:t>Developement</w:t>
            </w:r>
            <w:proofErr w:type="spellEnd"/>
          </w:p>
        </w:tc>
        <w:tc>
          <w:tcPr>
            <w:tcW w:w="718" w:type="pct"/>
            <w:shd w:val="clear" w:color="auto" w:fill="auto"/>
          </w:tcPr>
          <w:p w14:paraId="2312E897" w14:textId="41AC4A18" w:rsidR="0042495A" w:rsidRPr="001731CE" w:rsidRDefault="001814BA" w:rsidP="00AA4E74">
            <w:pPr>
              <w:shd w:val="clear" w:color="auto" w:fill="FFFFFF"/>
              <w:rPr>
                <w:color w:val="000000"/>
              </w:rPr>
            </w:pPr>
            <w:r>
              <w:rPr>
                <w:color w:val="000000"/>
                <w:sz w:val="20"/>
                <w:szCs w:val="20"/>
              </w:rPr>
              <w:t>In-kind</w:t>
            </w:r>
          </w:p>
        </w:tc>
        <w:tc>
          <w:tcPr>
            <w:tcW w:w="980" w:type="pct"/>
            <w:shd w:val="clear" w:color="auto" w:fill="auto"/>
          </w:tcPr>
          <w:p w14:paraId="2771B210" w14:textId="42CCEE80" w:rsidR="0042495A" w:rsidRPr="001731CE" w:rsidRDefault="009647B5" w:rsidP="00AA4E74">
            <w:pPr>
              <w:shd w:val="clear" w:color="auto" w:fill="FFFFFF"/>
              <w:rPr>
                <w:color w:val="000000"/>
              </w:rPr>
            </w:pPr>
            <w:r>
              <w:rPr>
                <w:color w:val="000000"/>
                <w:sz w:val="20"/>
                <w:szCs w:val="20"/>
              </w:rPr>
              <w:t xml:space="preserve">Recurrent </w:t>
            </w:r>
            <w:r w:rsidR="00BE371B">
              <w:rPr>
                <w:color w:val="000000"/>
                <w:sz w:val="20"/>
                <w:szCs w:val="20"/>
              </w:rPr>
              <w:t>expenditures</w:t>
            </w:r>
          </w:p>
        </w:tc>
        <w:tc>
          <w:tcPr>
            <w:tcW w:w="612" w:type="pct"/>
          </w:tcPr>
          <w:p w14:paraId="4FC8D50C" w14:textId="77777777" w:rsidR="0042495A" w:rsidRPr="001731CE" w:rsidRDefault="00646E80" w:rsidP="00AA4E74">
            <w:pPr>
              <w:shd w:val="clear" w:color="auto" w:fill="FFFFFF"/>
              <w:ind w:left="-6"/>
              <w:jc w:val="right"/>
              <w:rPr>
                <w:color w:val="000000"/>
                <w:sz w:val="20"/>
                <w:szCs w:val="20"/>
              </w:rPr>
            </w:pPr>
            <w:r>
              <w:rPr>
                <w:color w:val="000000"/>
                <w:sz w:val="20"/>
                <w:szCs w:val="20"/>
              </w:rPr>
              <w:t>30,000</w:t>
            </w:r>
          </w:p>
        </w:tc>
      </w:tr>
      <w:tr w:rsidR="000C6DB0" w:rsidRPr="001731CE" w14:paraId="597B6F74" w14:textId="77777777" w:rsidTr="001A17CC">
        <w:trPr>
          <w:cantSplit/>
        </w:trPr>
        <w:tc>
          <w:tcPr>
            <w:tcW w:w="1015" w:type="pct"/>
          </w:tcPr>
          <w:p w14:paraId="70098C0F" w14:textId="250D94CA" w:rsidR="000C6DB0" w:rsidRPr="001731CE" w:rsidRDefault="00501849" w:rsidP="000C6DB0">
            <w:pPr>
              <w:shd w:val="clear" w:color="auto" w:fill="FFFFFF"/>
              <w:rPr>
                <w:color w:val="000000"/>
                <w:sz w:val="20"/>
                <w:szCs w:val="20"/>
              </w:rPr>
            </w:pPr>
            <w:r>
              <w:rPr>
                <w:color w:val="000000"/>
                <w:sz w:val="20"/>
                <w:szCs w:val="20"/>
              </w:rPr>
              <w:t>Recipient Country Government</w:t>
            </w:r>
          </w:p>
        </w:tc>
        <w:tc>
          <w:tcPr>
            <w:tcW w:w="1675" w:type="pct"/>
          </w:tcPr>
          <w:p w14:paraId="394F1C1A" w14:textId="73D5225E" w:rsidR="000C6DB0" w:rsidRPr="001731CE" w:rsidRDefault="00646E80" w:rsidP="000C6DB0">
            <w:pPr>
              <w:shd w:val="clear" w:color="auto" w:fill="FFFFFF"/>
              <w:rPr>
                <w:color w:val="000000"/>
                <w:sz w:val="20"/>
                <w:szCs w:val="20"/>
              </w:rPr>
            </w:pPr>
            <w:r w:rsidRPr="00FE04C8">
              <w:rPr>
                <w:color w:val="000000"/>
                <w:sz w:val="20"/>
                <w:szCs w:val="20"/>
              </w:rPr>
              <w:t>Ministry of Social Security, National Solidarity, and Environment and Sustainable Development (</w:t>
            </w:r>
            <w:proofErr w:type="spellStart"/>
            <w:r w:rsidR="00A204F8" w:rsidRPr="00FE04C8">
              <w:rPr>
                <w:color w:val="000000"/>
                <w:sz w:val="20"/>
                <w:szCs w:val="20"/>
              </w:rPr>
              <w:t>MoSSNSESD</w:t>
            </w:r>
            <w:proofErr w:type="spellEnd"/>
            <w:r w:rsidRPr="00FE04C8">
              <w:rPr>
                <w:color w:val="000000"/>
                <w:sz w:val="20"/>
                <w:szCs w:val="20"/>
              </w:rPr>
              <w:t>)</w:t>
            </w:r>
          </w:p>
        </w:tc>
        <w:tc>
          <w:tcPr>
            <w:tcW w:w="718" w:type="pct"/>
            <w:shd w:val="clear" w:color="auto" w:fill="auto"/>
          </w:tcPr>
          <w:p w14:paraId="2AF5E6A4" w14:textId="74183172" w:rsidR="000C6DB0" w:rsidRPr="001731CE" w:rsidRDefault="00FE04C8" w:rsidP="000C6DB0">
            <w:pPr>
              <w:shd w:val="clear" w:color="auto" w:fill="FFFFFF"/>
              <w:rPr>
                <w:color w:val="000000"/>
              </w:rPr>
            </w:pPr>
            <w:r>
              <w:rPr>
                <w:color w:val="000000"/>
                <w:sz w:val="20"/>
                <w:szCs w:val="20"/>
              </w:rPr>
              <w:t>In-kind</w:t>
            </w:r>
          </w:p>
        </w:tc>
        <w:tc>
          <w:tcPr>
            <w:tcW w:w="980" w:type="pct"/>
            <w:shd w:val="clear" w:color="auto" w:fill="auto"/>
          </w:tcPr>
          <w:p w14:paraId="369DE936" w14:textId="4AE68768" w:rsidR="000C6DB0" w:rsidRPr="001731CE" w:rsidRDefault="00BE371B" w:rsidP="000C6DB0">
            <w:pPr>
              <w:shd w:val="clear" w:color="auto" w:fill="FFFFFF"/>
              <w:rPr>
                <w:color w:val="000000"/>
              </w:rPr>
            </w:pPr>
            <w:r>
              <w:rPr>
                <w:color w:val="000000"/>
                <w:sz w:val="20"/>
                <w:szCs w:val="20"/>
              </w:rPr>
              <w:t xml:space="preserve">Recurrent expenditures </w:t>
            </w:r>
          </w:p>
        </w:tc>
        <w:tc>
          <w:tcPr>
            <w:tcW w:w="612" w:type="pct"/>
          </w:tcPr>
          <w:p w14:paraId="630888F8" w14:textId="77777777" w:rsidR="000C6DB0" w:rsidRPr="001731CE" w:rsidRDefault="00646E80" w:rsidP="000C6DB0">
            <w:pPr>
              <w:shd w:val="clear" w:color="auto" w:fill="FFFFFF"/>
              <w:ind w:left="-6"/>
              <w:jc w:val="right"/>
              <w:rPr>
                <w:color w:val="000000"/>
                <w:sz w:val="20"/>
                <w:szCs w:val="20"/>
              </w:rPr>
            </w:pPr>
            <w:r>
              <w:rPr>
                <w:color w:val="000000"/>
                <w:sz w:val="20"/>
                <w:szCs w:val="20"/>
              </w:rPr>
              <w:t>180,000</w:t>
            </w:r>
          </w:p>
        </w:tc>
      </w:tr>
      <w:tr w:rsidR="00646E80" w:rsidRPr="001731CE" w14:paraId="508D09EB" w14:textId="77777777" w:rsidTr="001A17CC">
        <w:trPr>
          <w:cantSplit/>
        </w:trPr>
        <w:tc>
          <w:tcPr>
            <w:tcW w:w="1015" w:type="pct"/>
          </w:tcPr>
          <w:p w14:paraId="6F6F9B6A" w14:textId="3785054F" w:rsidR="00646E80" w:rsidRPr="001731CE" w:rsidRDefault="00501849" w:rsidP="00646E80">
            <w:pPr>
              <w:shd w:val="clear" w:color="auto" w:fill="FFFFFF"/>
              <w:rPr>
                <w:color w:val="000000"/>
                <w:sz w:val="20"/>
                <w:szCs w:val="20"/>
              </w:rPr>
            </w:pPr>
            <w:r>
              <w:rPr>
                <w:color w:val="000000"/>
                <w:sz w:val="20"/>
                <w:szCs w:val="20"/>
              </w:rPr>
              <w:t>Recipient Country Government</w:t>
            </w:r>
          </w:p>
        </w:tc>
        <w:tc>
          <w:tcPr>
            <w:tcW w:w="1675" w:type="pct"/>
          </w:tcPr>
          <w:p w14:paraId="27AA2F64" w14:textId="1B6179BA" w:rsidR="00646E80" w:rsidRPr="001731CE" w:rsidRDefault="00646E80" w:rsidP="00646E80">
            <w:pPr>
              <w:shd w:val="clear" w:color="auto" w:fill="FFFFFF"/>
              <w:rPr>
                <w:color w:val="000000"/>
                <w:sz w:val="20"/>
                <w:szCs w:val="20"/>
              </w:rPr>
            </w:pPr>
            <w:r w:rsidRPr="00FE04C8">
              <w:rPr>
                <w:color w:val="000000"/>
                <w:sz w:val="20"/>
                <w:szCs w:val="20"/>
              </w:rPr>
              <w:t>Ministries, departments and parastatals (National Transport Authority (NTA), Central Electricity Board (CEB), Mauritius Renewable Energy Agency (MARENA), Mauritius Cane Industry Authority (MCIA), Forestry Service, etc.)</w:t>
            </w:r>
          </w:p>
        </w:tc>
        <w:tc>
          <w:tcPr>
            <w:tcW w:w="718" w:type="pct"/>
            <w:shd w:val="clear" w:color="auto" w:fill="auto"/>
          </w:tcPr>
          <w:p w14:paraId="46E8C8CC" w14:textId="7E6718A0" w:rsidR="00646E80" w:rsidRPr="001731CE" w:rsidRDefault="00FE04C8" w:rsidP="00646E80">
            <w:pPr>
              <w:shd w:val="clear" w:color="auto" w:fill="FFFFFF"/>
              <w:rPr>
                <w:color w:val="000000"/>
              </w:rPr>
            </w:pPr>
            <w:r>
              <w:rPr>
                <w:color w:val="000000"/>
                <w:sz w:val="20"/>
                <w:szCs w:val="20"/>
              </w:rPr>
              <w:t>In-kind</w:t>
            </w:r>
          </w:p>
        </w:tc>
        <w:tc>
          <w:tcPr>
            <w:tcW w:w="980" w:type="pct"/>
            <w:shd w:val="clear" w:color="auto" w:fill="auto"/>
          </w:tcPr>
          <w:p w14:paraId="6B6C2029" w14:textId="08E571A2" w:rsidR="00646E80" w:rsidRPr="001731CE" w:rsidRDefault="00BE371B" w:rsidP="00646E80">
            <w:pPr>
              <w:shd w:val="clear" w:color="auto" w:fill="FFFFFF"/>
              <w:rPr>
                <w:color w:val="000000"/>
              </w:rPr>
            </w:pPr>
            <w:r>
              <w:rPr>
                <w:color w:val="000000"/>
                <w:sz w:val="20"/>
                <w:szCs w:val="20"/>
              </w:rPr>
              <w:t xml:space="preserve">Recurrent expenditures </w:t>
            </w:r>
          </w:p>
        </w:tc>
        <w:tc>
          <w:tcPr>
            <w:tcW w:w="612" w:type="pct"/>
          </w:tcPr>
          <w:p w14:paraId="2E1AADDF" w14:textId="77777777" w:rsidR="00646E80" w:rsidRPr="001731CE" w:rsidRDefault="00646E80" w:rsidP="00646E80">
            <w:pPr>
              <w:shd w:val="clear" w:color="auto" w:fill="FFFFFF"/>
              <w:ind w:left="-6"/>
              <w:jc w:val="right"/>
              <w:rPr>
                <w:color w:val="000000"/>
                <w:sz w:val="20"/>
                <w:szCs w:val="20"/>
              </w:rPr>
            </w:pPr>
            <w:r>
              <w:rPr>
                <w:color w:val="000000"/>
                <w:sz w:val="20"/>
                <w:szCs w:val="20"/>
              </w:rPr>
              <w:t>460,000</w:t>
            </w:r>
          </w:p>
        </w:tc>
      </w:tr>
      <w:tr w:rsidR="00646E80" w:rsidRPr="001731CE" w14:paraId="088E6974" w14:textId="77777777" w:rsidTr="001A17CC">
        <w:trPr>
          <w:cantSplit/>
        </w:trPr>
        <w:tc>
          <w:tcPr>
            <w:tcW w:w="1015" w:type="pct"/>
          </w:tcPr>
          <w:p w14:paraId="4DC26844" w14:textId="7976B06E" w:rsidR="00646E80" w:rsidRPr="001731CE" w:rsidRDefault="00501849" w:rsidP="00646E80">
            <w:pPr>
              <w:shd w:val="clear" w:color="auto" w:fill="FFFFFF"/>
              <w:rPr>
                <w:color w:val="000000"/>
                <w:sz w:val="20"/>
                <w:szCs w:val="20"/>
              </w:rPr>
            </w:pPr>
            <w:r>
              <w:rPr>
                <w:color w:val="000000"/>
                <w:sz w:val="20"/>
                <w:szCs w:val="20"/>
              </w:rPr>
              <w:t>GEF Agency</w:t>
            </w:r>
          </w:p>
        </w:tc>
        <w:tc>
          <w:tcPr>
            <w:tcW w:w="1675" w:type="pct"/>
          </w:tcPr>
          <w:p w14:paraId="3626E81F" w14:textId="77777777" w:rsidR="00646E80" w:rsidRPr="001731CE" w:rsidRDefault="00646E80" w:rsidP="00646E80">
            <w:pPr>
              <w:shd w:val="clear" w:color="auto" w:fill="FFFFFF"/>
              <w:rPr>
                <w:color w:val="000000"/>
                <w:sz w:val="20"/>
                <w:szCs w:val="20"/>
              </w:rPr>
            </w:pPr>
            <w:r w:rsidRPr="00FE04C8">
              <w:rPr>
                <w:color w:val="000000"/>
                <w:sz w:val="20"/>
                <w:szCs w:val="20"/>
              </w:rPr>
              <w:t>UNDP</w:t>
            </w:r>
          </w:p>
        </w:tc>
        <w:tc>
          <w:tcPr>
            <w:tcW w:w="718" w:type="pct"/>
            <w:shd w:val="clear" w:color="auto" w:fill="auto"/>
          </w:tcPr>
          <w:p w14:paraId="0DA3CAED" w14:textId="5A84866C" w:rsidR="00646E80" w:rsidRPr="001731CE" w:rsidRDefault="00FE04C8" w:rsidP="00646E80">
            <w:pPr>
              <w:shd w:val="clear" w:color="auto" w:fill="FFFFFF"/>
              <w:rPr>
                <w:color w:val="000000"/>
                <w:sz w:val="20"/>
                <w:szCs w:val="20"/>
              </w:rPr>
            </w:pPr>
            <w:r>
              <w:rPr>
                <w:color w:val="000000"/>
                <w:sz w:val="20"/>
                <w:szCs w:val="20"/>
              </w:rPr>
              <w:t xml:space="preserve">Grant </w:t>
            </w:r>
          </w:p>
        </w:tc>
        <w:tc>
          <w:tcPr>
            <w:tcW w:w="980" w:type="pct"/>
            <w:shd w:val="clear" w:color="auto" w:fill="auto"/>
          </w:tcPr>
          <w:p w14:paraId="5FAC9B85" w14:textId="654506F3" w:rsidR="00646E80" w:rsidRPr="001731CE" w:rsidRDefault="00BE371B" w:rsidP="00646E80">
            <w:pPr>
              <w:shd w:val="clear" w:color="auto" w:fill="FFFFFF"/>
              <w:rPr>
                <w:color w:val="000000"/>
              </w:rPr>
            </w:pPr>
            <w:r>
              <w:rPr>
                <w:color w:val="000000"/>
                <w:sz w:val="20"/>
                <w:szCs w:val="20"/>
              </w:rPr>
              <w:t xml:space="preserve">Recurrent expenditures </w:t>
            </w:r>
          </w:p>
        </w:tc>
        <w:tc>
          <w:tcPr>
            <w:tcW w:w="612" w:type="pct"/>
          </w:tcPr>
          <w:p w14:paraId="7BD72AB5" w14:textId="76B615EE" w:rsidR="00646E80" w:rsidRPr="001731CE" w:rsidRDefault="00407BD8" w:rsidP="00646E80">
            <w:pPr>
              <w:shd w:val="clear" w:color="auto" w:fill="FFFFFF"/>
              <w:ind w:left="-6"/>
              <w:jc w:val="right"/>
              <w:rPr>
                <w:color w:val="000000"/>
                <w:sz w:val="20"/>
                <w:szCs w:val="20"/>
              </w:rPr>
            </w:pPr>
            <w:r>
              <w:rPr>
                <w:color w:val="000000"/>
                <w:sz w:val="20"/>
                <w:szCs w:val="20"/>
              </w:rPr>
              <w:t>2</w:t>
            </w:r>
            <w:r w:rsidR="00646E80">
              <w:rPr>
                <w:color w:val="000000"/>
                <w:sz w:val="20"/>
                <w:szCs w:val="20"/>
              </w:rPr>
              <w:t>0,000</w:t>
            </w:r>
          </w:p>
        </w:tc>
      </w:tr>
      <w:tr w:rsidR="00646E80" w:rsidRPr="001731CE" w14:paraId="2E1BFB86" w14:textId="77777777" w:rsidTr="001A17CC">
        <w:trPr>
          <w:cantSplit/>
        </w:trPr>
        <w:tc>
          <w:tcPr>
            <w:tcW w:w="1015" w:type="pct"/>
          </w:tcPr>
          <w:p w14:paraId="5A7038D1" w14:textId="6976CC44" w:rsidR="00646E80" w:rsidRPr="001731CE" w:rsidRDefault="00501849" w:rsidP="00646E80">
            <w:pPr>
              <w:shd w:val="clear" w:color="auto" w:fill="FFFFFF"/>
              <w:rPr>
                <w:color w:val="000000"/>
                <w:sz w:val="20"/>
                <w:szCs w:val="20"/>
              </w:rPr>
            </w:pPr>
            <w:r>
              <w:rPr>
                <w:color w:val="000000"/>
                <w:sz w:val="20"/>
                <w:szCs w:val="20"/>
              </w:rPr>
              <w:t xml:space="preserve">Private Sector </w:t>
            </w:r>
          </w:p>
        </w:tc>
        <w:tc>
          <w:tcPr>
            <w:tcW w:w="1675" w:type="pct"/>
          </w:tcPr>
          <w:p w14:paraId="1E40942D" w14:textId="5B673A36" w:rsidR="00646E80" w:rsidRPr="00FE04C8" w:rsidRDefault="00646E80" w:rsidP="00646E80">
            <w:pPr>
              <w:shd w:val="clear" w:color="auto" w:fill="FFFFFF"/>
              <w:rPr>
                <w:color w:val="000000"/>
                <w:sz w:val="20"/>
                <w:szCs w:val="20"/>
              </w:rPr>
            </w:pPr>
            <w:r w:rsidRPr="00FE04C8">
              <w:rPr>
                <w:color w:val="000000"/>
                <w:sz w:val="20"/>
                <w:szCs w:val="20"/>
              </w:rPr>
              <w:t>Independent Power Producer</w:t>
            </w:r>
            <w:r w:rsidR="00407BD8" w:rsidRPr="00FE04C8">
              <w:rPr>
                <w:color w:val="000000"/>
                <w:sz w:val="20"/>
                <w:szCs w:val="20"/>
              </w:rPr>
              <w:t xml:space="preserve"> (</w:t>
            </w:r>
            <w:proofErr w:type="spellStart"/>
            <w:r w:rsidR="00407BD8" w:rsidRPr="00FE04C8">
              <w:rPr>
                <w:color w:val="000000"/>
                <w:sz w:val="20"/>
                <w:szCs w:val="20"/>
              </w:rPr>
              <w:t>Omnicane</w:t>
            </w:r>
            <w:proofErr w:type="spellEnd"/>
            <w:r w:rsidR="00407BD8" w:rsidRPr="00FE04C8">
              <w:rPr>
                <w:color w:val="000000"/>
                <w:sz w:val="20"/>
                <w:szCs w:val="20"/>
              </w:rPr>
              <w:t>)</w:t>
            </w:r>
          </w:p>
        </w:tc>
        <w:tc>
          <w:tcPr>
            <w:tcW w:w="718" w:type="pct"/>
            <w:shd w:val="clear" w:color="auto" w:fill="auto"/>
          </w:tcPr>
          <w:p w14:paraId="2E814B8E" w14:textId="36CFC38A" w:rsidR="00646E80" w:rsidRPr="001731CE" w:rsidRDefault="00FE04C8" w:rsidP="00646E80">
            <w:pPr>
              <w:shd w:val="clear" w:color="auto" w:fill="FFFFFF"/>
              <w:rPr>
                <w:color w:val="000000"/>
                <w:sz w:val="20"/>
                <w:szCs w:val="20"/>
              </w:rPr>
            </w:pPr>
            <w:r>
              <w:rPr>
                <w:color w:val="000000"/>
                <w:sz w:val="20"/>
                <w:szCs w:val="20"/>
              </w:rPr>
              <w:t>In-kind</w:t>
            </w:r>
          </w:p>
        </w:tc>
        <w:tc>
          <w:tcPr>
            <w:tcW w:w="980" w:type="pct"/>
            <w:shd w:val="clear" w:color="auto" w:fill="auto"/>
          </w:tcPr>
          <w:p w14:paraId="313C4BD2" w14:textId="242893D6" w:rsidR="00646E80" w:rsidRPr="001731CE" w:rsidRDefault="00BE371B" w:rsidP="00646E80">
            <w:pPr>
              <w:shd w:val="clear" w:color="auto" w:fill="FFFFFF"/>
              <w:rPr>
                <w:color w:val="000000"/>
                <w:sz w:val="20"/>
                <w:szCs w:val="20"/>
              </w:rPr>
            </w:pPr>
            <w:r>
              <w:rPr>
                <w:color w:val="000000"/>
                <w:sz w:val="20"/>
                <w:szCs w:val="20"/>
              </w:rPr>
              <w:t xml:space="preserve">Recurrent expenditures </w:t>
            </w:r>
          </w:p>
        </w:tc>
        <w:tc>
          <w:tcPr>
            <w:tcW w:w="612" w:type="pct"/>
          </w:tcPr>
          <w:p w14:paraId="71358AD5" w14:textId="77777777" w:rsidR="00646E80" w:rsidRPr="001731CE" w:rsidRDefault="00646E80" w:rsidP="00646E80">
            <w:pPr>
              <w:shd w:val="clear" w:color="auto" w:fill="FFFFFF"/>
              <w:ind w:left="-6"/>
              <w:jc w:val="right"/>
              <w:rPr>
                <w:color w:val="000000"/>
                <w:sz w:val="20"/>
                <w:szCs w:val="20"/>
              </w:rPr>
            </w:pPr>
            <w:r>
              <w:rPr>
                <w:color w:val="000000"/>
                <w:sz w:val="20"/>
                <w:szCs w:val="20"/>
              </w:rPr>
              <w:t>60,000</w:t>
            </w:r>
          </w:p>
        </w:tc>
      </w:tr>
      <w:tr w:rsidR="00646E80" w:rsidRPr="001731CE" w14:paraId="32B708D2" w14:textId="77777777" w:rsidTr="001A17CC">
        <w:trPr>
          <w:cantSplit/>
        </w:trPr>
        <w:tc>
          <w:tcPr>
            <w:tcW w:w="1015" w:type="pct"/>
          </w:tcPr>
          <w:p w14:paraId="028D1E1F" w14:textId="329EE56F" w:rsidR="00646E80" w:rsidRPr="001731CE" w:rsidRDefault="0085381C" w:rsidP="00646E80">
            <w:pPr>
              <w:shd w:val="clear" w:color="auto" w:fill="FFFFFF"/>
              <w:rPr>
                <w:color w:val="000000"/>
                <w:sz w:val="20"/>
                <w:szCs w:val="20"/>
              </w:rPr>
            </w:pPr>
            <w:r>
              <w:rPr>
                <w:color w:val="000000"/>
                <w:sz w:val="20"/>
                <w:szCs w:val="20"/>
              </w:rPr>
              <w:t>Others (Academia)</w:t>
            </w:r>
          </w:p>
        </w:tc>
        <w:tc>
          <w:tcPr>
            <w:tcW w:w="1675" w:type="pct"/>
          </w:tcPr>
          <w:p w14:paraId="7AC947F3" w14:textId="77777777" w:rsidR="00646E80" w:rsidRPr="00FE04C8" w:rsidRDefault="00646E80" w:rsidP="00646E80">
            <w:pPr>
              <w:shd w:val="clear" w:color="auto" w:fill="FFFFFF"/>
              <w:rPr>
                <w:color w:val="000000"/>
                <w:sz w:val="20"/>
                <w:szCs w:val="20"/>
              </w:rPr>
            </w:pPr>
            <w:r w:rsidRPr="00FE04C8">
              <w:rPr>
                <w:color w:val="000000"/>
                <w:sz w:val="20"/>
                <w:szCs w:val="20"/>
              </w:rPr>
              <w:t>University of Mauritius</w:t>
            </w:r>
          </w:p>
        </w:tc>
        <w:tc>
          <w:tcPr>
            <w:tcW w:w="718" w:type="pct"/>
            <w:shd w:val="clear" w:color="auto" w:fill="auto"/>
          </w:tcPr>
          <w:p w14:paraId="16DA3A6E" w14:textId="576D800E" w:rsidR="00646E80" w:rsidRPr="001731CE" w:rsidRDefault="00FE04C8" w:rsidP="00646E80">
            <w:pPr>
              <w:shd w:val="clear" w:color="auto" w:fill="FFFFFF"/>
              <w:rPr>
                <w:color w:val="000000"/>
                <w:sz w:val="20"/>
                <w:szCs w:val="20"/>
              </w:rPr>
            </w:pPr>
            <w:r>
              <w:rPr>
                <w:color w:val="000000"/>
                <w:sz w:val="20"/>
                <w:szCs w:val="20"/>
              </w:rPr>
              <w:t>In-kind</w:t>
            </w:r>
          </w:p>
        </w:tc>
        <w:tc>
          <w:tcPr>
            <w:tcW w:w="980" w:type="pct"/>
            <w:shd w:val="clear" w:color="auto" w:fill="auto"/>
          </w:tcPr>
          <w:p w14:paraId="4D004FD3" w14:textId="43BC4060" w:rsidR="00646E80" w:rsidRPr="001731CE" w:rsidRDefault="00BE371B" w:rsidP="00646E80">
            <w:pPr>
              <w:shd w:val="clear" w:color="auto" w:fill="FFFFFF"/>
              <w:rPr>
                <w:color w:val="000000"/>
                <w:sz w:val="20"/>
                <w:szCs w:val="20"/>
              </w:rPr>
            </w:pPr>
            <w:r>
              <w:rPr>
                <w:color w:val="000000"/>
                <w:sz w:val="20"/>
                <w:szCs w:val="20"/>
              </w:rPr>
              <w:t xml:space="preserve">Recurrent expenditures </w:t>
            </w:r>
          </w:p>
        </w:tc>
        <w:tc>
          <w:tcPr>
            <w:tcW w:w="612" w:type="pct"/>
          </w:tcPr>
          <w:p w14:paraId="20031E88" w14:textId="77777777" w:rsidR="00646E80" w:rsidRPr="001731CE" w:rsidRDefault="00646E80" w:rsidP="00646E80">
            <w:pPr>
              <w:shd w:val="clear" w:color="auto" w:fill="FFFFFF"/>
              <w:ind w:left="-6"/>
              <w:jc w:val="right"/>
              <w:rPr>
                <w:color w:val="000000"/>
                <w:sz w:val="20"/>
                <w:szCs w:val="20"/>
              </w:rPr>
            </w:pPr>
            <w:r>
              <w:rPr>
                <w:color w:val="000000"/>
                <w:sz w:val="20"/>
                <w:szCs w:val="20"/>
              </w:rPr>
              <w:t>20,000</w:t>
            </w:r>
          </w:p>
        </w:tc>
      </w:tr>
      <w:tr w:rsidR="00646E80" w:rsidRPr="001731CE" w14:paraId="049398FB" w14:textId="77777777" w:rsidTr="001A17CC">
        <w:trPr>
          <w:cantSplit/>
        </w:trPr>
        <w:tc>
          <w:tcPr>
            <w:tcW w:w="1015" w:type="pct"/>
          </w:tcPr>
          <w:p w14:paraId="32DA29B8" w14:textId="77777777" w:rsidR="00646E80" w:rsidRPr="001731CE" w:rsidRDefault="00646E80" w:rsidP="00646E80">
            <w:pPr>
              <w:shd w:val="clear" w:color="auto" w:fill="FFFFFF"/>
              <w:rPr>
                <w:color w:val="000000"/>
                <w:sz w:val="20"/>
                <w:szCs w:val="20"/>
              </w:rPr>
            </w:pPr>
          </w:p>
        </w:tc>
        <w:tc>
          <w:tcPr>
            <w:tcW w:w="1675" w:type="pct"/>
          </w:tcPr>
          <w:p w14:paraId="767F51FB" w14:textId="77777777" w:rsidR="00646E80" w:rsidRPr="001731CE" w:rsidRDefault="00646E80" w:rsidP="00646E80">
            <w:pPr>
              <w:shd w:val="clear" w:color="auto" w:fill="FFFFFF"/>
              <w:rPr>
                <w:color w:val="000000"/>
                <w:sz w:val="20"/>
                <w:szCs w:val="20"/>
              </w:rPr>
            </w:pPr>
          </w:p>
        </w:tc>
        <w:tc>
          <w:tcPr>
            <w:tcW w:w="718" w:type="pct"/>
            <w:shd w:val="clear" w:color="auto" w:fill="auto"/>
          </w:tcPr>
          <w:p w14:paraId="0D78F7BB" w14:textId="77777777" w:rsidR="00646E80" w:rsidRPr="001731CE" w:rsidRDefault="00646E80" w:rsidP="00646E80">
            <w:pPr>
              <w:shd w:val="clear" w:color="auto" w:fill="FFFFFF"/>
              <w:rPr>
                <w:color w:val="000000"/>
                <w:sz w:val="20"/>
                <w:szCs w:val="20"/>
              </w:rPr>
            </w:pPr>
          </w:p>
        </w:tc>
        <w:tc>
          <w:tcPr>
            <w:tcW w:w="980" w:type="pct"/>
            <w:shd w:val="clear" w:color="auto" w:fill="auto"/>
          </w:tcPr>
          <w:p w14:paraId="74C489FC" w14:textId="77777777" w:rsidR="00646E80" w:rsidRPr="001731CE" w:rsidRDefault="00646E80" w:rsidP="00646E80">
            <w:pPr>
              <w:shd w:val="clear" w:color="auto" w:fill="FFFFFF"/>
              <w:rPr>
                <w:color w:val="000000"/>
                <w:sz w:val="20"/>
                <w:szCs w:val="20"/>
              </w:rPr>
            </w:pPr>
          </w:p>
        </w:tc>
        <w:tc>
          <w:tcPr>
            <w:tcW w:w="612" w:type="pct"/>
          </w:tcPr>
          <w:p w14:paraId="32EE8C92" w14:textId="77777777" w:rsidR="00646E80" w:rsidRPr="001731CE" w:rsidRDefault="00646E80" w:rsidP="00646E80">
            <w:pPr>
              <w:shd w:val="clear" w:color="auto" w:fill="FFFFFF"/>
              <w:ind w:left="-6"/>
              <w:jc w:val="right"/>
              <w:rPr>
                <w:color w:val="000000"/>
                <w:sz w:val="20"/>
                <w:szCs w:val="20"/>
              </w:rPr>
            </w:pPr>
          </w:p>
        </w:tc>
      </w:tr>
      <w:tr w:rsidR="00646E80" w:rsidRPr="001731CE" w14:paraId="15E930C3" w14:textId="77777777" w:rsidTr="001A17CC">
        <w:trPr>
          <w:cantSplit/>
          <w:hidden/>
        </w:trPr>
        <w:tc>
          <w:tcPr>
            <w:tcW w:w="1015" w:type="pct"/>
          </w:tcPr>
          <w:p w14:paraId="2D6083CA" w14:textId="77777777" w:rsidR="00646E80" w:rsidRPr="001731CE" w:rsidRDefault="00646E80" w:rsidP="00646E80">
            <w:pPr>
              <w:shd w:val="clear" w:color="auto" w:fill="FFFFFF"/>
              <w:rPr>
                <w:vanish/>
                <w:color w:val="000000"/>
                <w:sz w:val="20"/>
                <w:szCs w:val="20"/>
              </w:rPr>
            </w:pPr>
            <w:r w:rsidRPr="001731CE">
              <w:rPr>
                <w:vanish/>
                <w:color w:val="000000"/>
                <w:sz w:val="20"/>
                <w:szCs w:val="20"/>
              </w:rPr>
              <w:fldChar w:fldCharType="begin">
                <w:ffData>
                  <w:name w:val="srcCofin_05"/>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Pr="001731CE">
              <w:rPr>
                <w:vanish/>
                <w:color w:val="000000"/>
                <w:sz w:val="20"/>
                <w:szCs w:val="20"/>
              </w:rPr>
              <w:instrText xml:space="preserve"> FORMDROPDOWN </w:instrText>
            </w:r>
            <w:r w:rsidR="00A755A1">
              <w:rPr>
                <w:vanish/>
                <w:color w:val="000000"/>
                <w:sz w:val="20"/>
                <w:szCs w:val="20"/>
              </w:rPr>
            </w:r>
            <w:r w:rsidR="00A755A1">
              <w:rPr>
                <w:vanish/>
                <w:color w:val="000000"/>
                <w:sz w:val="20"/>
                <w:szCs w:val="20"/>
              </w:rPr>
              <w:fldChar w:fldCharType="separate"/>
            </w:r>
            <w:r w:rsidRPr="001731CE">
              <w:rPr>
                <w:vanish/>
                <w:color w:val="000000"/>
                <w:sz w:val="20"/>
                <w:szCs w:val="20"/>
              </w:rPr>
              <w:fldChar w:fldCharType="end"/>
            </w:r>
          </w:p>
        </w:tc>
        <w:tc>
          <w:tcPr>
            <w:tcW w:w="1675" w:type="pct"/>
          </w:tcPr>
          <w:p w14:paraId="6AACB578" w14:textId="77777777" w:rsidR="00646E80" w:rsidRPr="001731CE" w:rsidRDefault="00646E80" w:rsidP="00646E80">
            <w:pPr>
              <w:shd w:val="clear" w:color="auto" w:fill="FFFFFF"/>
              <w:rPr>
                <w:vanish/>
                <w:color w:val="000000"/>
                <w:sz w:val="20"/>
                <w:szCs w:val="20"/>
              </w:rPr>
            </w:pPr>
            <w:r w:rsidRPr="001731CE">
              <w:rPr>
                <w:vanish/>
                <w:color w:val="000000"/>
                <w:sz w:val="20"/>
                <w:szCs w:val="20"/>
              </w:rPr>
              <w:fldChar w:fldCharType="begin">
                <w:ffData>
                  <w:name w:val="nameOfCofin_05"/>
                  <w:enabled/>
                  <w:calcOnExit w:val="0"/>
                  <w:textInput/>
                </w:ffData>
              </w:fldChar>
            </w:r>
            <w:r w:rsidRPr="001731CE">
              <w:rPr>
                <w:vanish/>
                <w:color w:val="000000"/>
                <w:sz w:val="20"/>
                <w:szCs w:val="20"/>
              </w:rPr>
              <w:instrText xml:space="preserve"> FORMTEXT </w:instrText>
            </w:r>
            <w:r w:rsidRPr="001731CE">
              <w:rPr>
                <w:vanish/>
                <w:color w:val="000000"/>
                <w:sz w:val="20"/>
                <w:szCs w:val="20"/>
              </w:rPr>
            </w:r>
            <w:r w:rsidRPr="001731CE">
              <w:rPr>
                <w:vanish/>
                <w:color w:val="000000"/>
                <w:sz w:val="20"/>
                <w:szCs w:val="20"/>
              </w:rPr>
              <w:fldChar w:fldCharType="separate"/>
            </w:r>
            <w:r w:rsidRPr="001731CE">
              <w:rPr>
                <w:noProof/>
                <w:vanish/>
                <w:color w:val="000000"/>
                <w:sz w:val="20"/>
                <w:szCs w:val="20"/>
              </w:rPr>
              <w:t> </w:t>
            </w:r>
            <w:r w:rsidRPr="001731CE">
              <w:rPr>
                <w:noProof/>
                <w:vanish/>
                <w:color w:val="000000"/>
                <w:sz w:val="20"/>
                <w:szCs w:val="20"/>
              </w:rPr>
              <w:t> </w:t>
            </w:r>
            <w:r w:rsidRPr="001731CE">
              <w:rPr>
                <w:noProof/>
                <w:vanish/>
                <w:color w:val="000000"/>
                <w:sz w:val="20"/>
                <w:szCs w:val="20"/>
              </w:rPr>
              <w:t> </w:t>
            </w:r>
            <w:r w:rsidRPr="001731CE">
              <w:rPr>
                <w:noProof/>
                <w:vanish/>
                <w:color w:val="000000"/>
                <w:sz w:val="20"/>
                <w:szCs w:val="20"/>
              </w:rPr>
              <w:t> </w:t>
            </w:r>
            <w:r w:rsidRPr="001731CE">
              <w:rPr>
                <w:noProof/>
                <w:vanish/>
                <w:color w:val="000000"/>
                <w:sz w:val="20"/>
                <w:szCs w:val="20"/>
              </w:rPr>
              <w:t> </w:t>
            </w:r>
            <w:r w:rsidRPr="001731CE">
              <w:rPr>
                <w:vanish/>
                <w:color w:val="000000"/>
                <w:sz w:val="20"/>
                <w:szCs w:val="20"/>
              </w:rPr>
              <w:fldChar w:fldCharType="end"/>
            </w:r>
          </w:p>
        </w:tc>
        <w:tc>
          <w:tcPr>
            <w:tcW w:w="1698" w:type="pct"/>
            <w:gridSpan w:val="2"/>
            <w:shd w:val="clear" w:color="auto" w:fill="auto"/>
          </w:tcPr>
          <w:p w14:paraId="7EBABBAB" w14:textId="77777777" w:rsidR="00646E80" w:rsidRPr="001731CE" w:rsidRDefault="00646E80" w:rsidP="00646E80">
            <w:pPr>
              <w:shd w:val="clear" w:color="auto" w:fill="FFFFFF"/>
              <w:ind w:left="5"/>
              <w:rPr>
                <w:vanish/>
                <w:color w:val="000000"/>
                <w:sz w:val="20"/>
                <w:szCs w:val="20"/>
              </w:rPr>
            </w:pPr>
            <w:r w:rsidRPr="001731CE">
              <w:rPr>
                <w:vanish/>
                <w:color w:val="000000"/>
                <w:sz w:val="20"/>
                <w:szCs w:val="20"/>
              </w:rPr>
              <w:fldChar w:fldCharType="begin">
                <w:ffData>
                  <w:name w:val="CofinType_05"/>
                  <w:enabled/>
                  <w:calcOnExit w:val="0"/>
                  <w:ddList>
                    <w:listEntry w:val="(select)"/>
                    <w:listEntry w:val="Grant"/>
                    <w:listEntry w:val="Soft Loan"/>
                    <w:listEntry w:val="Hard Loan"/>
                    <w:listEntry w:val="Guarantee"/>
                    <w:listEntry w:val="In-kind"/>
                    <w:listEntry w:val="Unknown at this stage"/>
                  </w:ddList>
                </w:ffData>
              </w:fldChar>
            </w:r>
            <w:r w:rsidRPr="001731CE">
              <w:rPr>
                <w:vanish/>
                <w:color w:val="000000"/>
                <w:sz w:val="20"/>
                <w:szCs w:val="20"/>
              </w:rPr>
              <w:instrText xml:space="preserve"> FORMDROPDOWN </w:instrText>
            </w:r>
            <w:r w:rsidR="00A755A1">
              <w:rPr>
                <w:vanish/>
                <w:color w:val="000000"/>
                <w:sz w:val="20"/>
                <w:szCs w:val="20"/>
              </w:rPr>
            </w:r>
            <w:r w:rsidR="00A755A1">
              <w:rPr>
                <w:vanish/>
                <w:color w:val="000000"/>
                <w:sz w:val="20"/>
                <w:szCs w:val="20"/>
              </w:rPr>
              <w:fldChar w:fldCharType="separate"/>
            </w:r>
            <w:r w:rsidRPr="001731CE">
              <w:rPr>
                <w:vanish/>
                <w:color w:val="000000"/>
                <w:sz w:val="20"/>
                <w:szCs w:val="20"/>
              </w:rPr>
              <w:fldChar w:fldCharType="end"/>
            </w:r>
          </w:p>
        </w:tc>
        <w:tc>
          <w:tcPr>
            <w:tcW w:w="612" w:type="pct"/>
          </w:tcPr>
          <w:p w14:paraId="5CBE91B8" w14:textId="77777777" w:rsidR="00646E80" w:rsidRPr="001731CE" w:rsidRDefault="00646E80" w:rsidP="00646E80">
            <w:pPr>
              <w:shd w:val="clear" w:color="auto" w:fill="FFFFFF"/>
              <w:ind w:left="-6"/>
              <w:jc w:val="right"/>
              <w:rPr>
                <w:vanish/>
                <w:color w:val="000000"/>
                <w:sz w:val="20"/>
                <w:szCs w:val="20"/>
              </w:rPr>
            </w:pPr>
            <w:r w:rsidRPr="001731CE">
              <w:rPr>
                <w:vanish/>
                <w:color w:val="000000"/>
                <w:sz w:val="20"/>
                <w:szCs w:val="20"/>
              </w:rPr>
              <w:fldChar w:fldCharType="begin">
                <w:ffData>
                  <w:name w:val="CofinTotal_05"/>
                  <w:enabled/>
                  <w:calcOnExit w:val="0"/>
                  <w:textInput>
                    <w:type w:val="number"/>
                  </w:textInput>
                </w:ffData>
              </w:fldChar>
            </w:r>
            <w:r w:rsidRPr="001731CE">
              <w:rPr>
                <w:vanish/>
                <w:color w:val="000000"/>
                <w:sz w:val="20"/>
                <w:szCs w:val="20"/>
              </w:rPr>
              <w:instrText xml:space="preserve"> FORMTEXT </w:instrText>
            </w:r>
            <w:r w:rsidRPr="001731CE">
              <w:rPr>
                <w:vanish/>
                <w:color w:val="000000"/>
                <w:sz w:val="20"/>
                <w:szCs w:val="20"/>
              </w:rPr>
            </w:r>
            <w:r w:rsidRPr="001731CE">
              <w:rPr>
                <w:vanish/>
                <w:color w:val="000000"/>
                <w:sz w:val="20"/>
                <w:szCs w:val="20"/>
              </w:rPr>
              <w:fldChar w:fldCharType="separate"/>
            </w:r>
            <w:r w:rsidRPr="001731CE">
              <w:rPr>
                <w:noProof/>
                <w:vanish/>
                <w:color w:val="000000"/>
                <w:sz w:val="20"/>
                <w:szCs w:val="20"/>
              </w:rPr>
              <w:t> </w:t>
            </w:r>
            <w:r w:rsidRPr="001731CE">
              <w:rPr>
                <w:noProof/>
                <w:vanish/>
                <w:color w:val="000000"/>
                <w:sz w:val="20"/>
                <w:szCs w:val="20"/>
              </w:rPr>
              <w:t> </w:t>
            </w:r>
            <w:r w:rsidRPr="001731CE">
              <w:rPr>
                <w:noProof/>
                <w:vanish/>
                <w:color w:val="000000"/>
                <w:sz w:val="20"/>
                <w:szCs w:val="20"/>
              </w:rPr>
              <w:t> </w:t>
            </w:r>
            <w:r w:rsidRPr="001731CE">
              <w:rPr>
                <w:noProof/>
                <w:vanish/>
                <w:color w:val="000000"/>
                <w:sz w:val="20"/>
                <w:szCs w:val="20"/>
              </w:rPr>
              <w:t> </w:t>
            </w:r>
            <w:r w:rsidRPr="001731CE">
              <w:rPr>
                <w:noProof/>
                <w:vanish/>
                <w:color w:val="000000"/>
                <w:sz w:val="20"/>
                <w:szCs w:val="20"/>
              </w:rPr>
              <w:t> </w:t>
            </w:r>
            <w:r w:rsidRPr="001731CE">
              <w:rPr>
                <w:vanish/>
                <w:color w:val="000000"/>
                <w:sz w:val="20"/>
                <w:szCs w:val="20"/>
              </w:rPr>
              <w:fldChar w:fldCharType="end"/>
            </w:r>
          </w:p>
        </w:tc>
      </w:tr>
      <w:tr w:rsidR="00646E80" w:rsidRPr="001731CE" w14:paraId="53FFBF33" w14:textId="77777777" w:rsidTr="001A17CC">
        <w:trPr>
          <w:cantSplit/>
          <w:hidden/>
        </w:trPr>
        <w:tc>
          <w:tcPr>
            <w:tcW w:w="1015" w:type="pct"/>
          </w:tcPr>
          <w:p w14:paraId="2E00786A" w14:textId="77777777" w:rsidR="00646E80" w:rsidRPr="001731CE" w:rsidRDefault="00646E80" w:rsidP="00646E80">
            <w:pPr>
              <w:shd w:val="clear" w:color="auto" w:fill="FFFFFF"/>
              <w:rPr>
                <w:vanish/>
                <w:color w:val="000000"/>
                <w:sz w:val="20"/>
                <w:szCs w:val="20"/>
              </w:rPr>
            </w:pPr>
            <w:r w:rsidRPr="001731CE">
              <w:rPr>
                <w:vanish/>
                <w:color w:val="000000"/>
                <w:sz w:val="20"/>
                <w:szCs w:val="20"/>
              </w:rPr>
              <w:fldChar w:fldCharType="begin">
                <w:ffData>
                  <w:name w:val="srcCofin_06"/>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Pr="001731CE">
              <w:rPr>
                <w:vanish/>
                <w:color w:val="000000"/>
                <w:sz w:val="20"/>
                <w:szCs w:val="20"/>
              </w:rPr>
              <w:instrText xml:space="preserve"> FORMDROPDOWN </w:instrText>
            </w:r>
            <w:r w:rsidR="00A755A1">
              <w:rPr>
                <w:vanish/>
                <w:color w:val="000000"/>
                <w:sz w:val="20"/>
                <w:szCs w:val="20"/>
              </w:rPr>
            </w:r>
            <w:r w:rsidR="00A755A1">
              <w:rPr>
                <w:vanish/>
                <w:color w:val="000000"/>
                <w:sz w:val="20"/>
                <w:szCs w:val="20"/>
              </w:rPr>
              <w:fldChar w:fldCharType="separate"/>
            </w:r>
            <w:r w:rsidRPr="001731CE">
              <w:rPr>
                <w:vanish/>
                <w:color w:val="000000"/>
                <w:sz w:val="20"/>
                <w:szCs w:val="20"/>
              </w:rPr>
              <w:fldChar w:fldCharType="end"/>
            </w:r>
          </w:p>
        </w:tc>
        <w:tc>
          <w:tcPr>
            <w:tcW w:w="1675" w:type="pct"/>
          </w:tcPr>
          <w:p w14:paraId="63185099" w14:textId="77777777" w:rsidR="00646E80" w:rsidRPr="001731CE" w:rsidRDefault="00646E80" w:rsidP="00646E80">
            <w:pPr>
              <w:shd w:val="clear" w:color="auto" w:fill="FFFFFF"/>
              <w:rPr>
                <w:vanish/>
                <w:color w:val="000000"/>
                <w:sz w:val="20"/>
                <w:szCs w:val="20"/>
              </w:rPr>
            </w:pPr>
            <w:r w:rsidRPr="001731CE">
              <w:rPr>
                <w:vanish/>
                <w:color w:val="000000"/>
                <w:sz w:val="20"/>
                <w:szCs w:val="20"/>
              </w:rPr>
              <w:fldChar w:fldCharType="begin">
                <w:ffData>
                  <w:name w:val="nameOfCofin_06"/>
                  <w:enabled/>
                  <w:calcOnExit w:val="0"/>
                  <w:textInput/>
                </w:ffData>
              </w:fldChar>
            </w:r>
            <w:r w:rsidRPr="001731CE">
              <w:rPr>
                <w:vanish/>
                <w:color w:val="000000"/>
                <w:sz w:val="20"/>
                <w:szCs w:val="20"/>
              </w:rPr>
              <w:instrText xml:space="preserve"> FORMTEXT </w:instrText>
            </w:r>
            <w:r w:rsidRPr="001731CE">
              <w:rPr>
                <w:vanish/>
                <w:color w:val="000000"/>
                <w:sz w:val="20"/>
                <w:szCs w:val="20"/>
              </w:rPr>
            </w:r>
            <w:r w:rsidRPr="001731CE">
              <w:rPr>
                <w:vanish/>
                <w:color w:val="000000"/>
                <w:sz w:val="20"/>
                <w:szCs w:val="20"/>
              </w:rPr>
              <w:fldChar w:fldCharType="separate"/>
            </w:r>
            <w:r w:rsidRPr="001731CE">
              <w:rPr>
                <w:noProof/>
                <w:vanish/>
                <w:color w:val="000000"/>
                <w:sz w:val="20"/>
                <w:szCs w:val="20"/>
              </w:rPr>
              <w:t> </w:t>
            </w:r>
            <w:r w:rsidRPr="001731CE">
              <w:rPr>
                <w:noProof/>
                <w:vanish/>
                <w:color w:val="000000"/>
                <w:sz w:val="20"/>
                <w:szCs w:val="20"/>
              </w:rPr>
              <w:t> </w:t>
            </w:r>
            <w:r w:rsidRPr="001731CE">
              <w:rPr>
                <w:noProof/>
                <w:vanish/>
                <w:color w:val="000000"/>
                <w:sz w:val="20"/>
                <w:szCs w:val="20"/>
              </w:rPr>
              <w:t> </w:t>
            </w:r>
            <w:r w:rsidRPr="001731CE">
              <w:rPr>
                <w:noProof/>
                <w:vanish/>
                <w:color w:val="000000"/>
                <w:sz w:val="20"/>
                <w:szCs w:val="20"/>
              </w:rPr>
              <w:t> </w:t>
            </w:r>
            <w:r w:rsidRPr="001731CE">
              <w:rPr>
                <w:noProof/>
                <w:vanish/>
                <w:color w:val="000000"/>
                <w:sz w:val="20"/>
                <w:szCs w:val="20"/>
              </w:rPr>
              <w:t> </w:t>
            </w:r>
            <w:r w:rsidRPr="001731CE">
              <w:rPr>
                <w:vanish/>
                <w:color w:val="000000"/>
                <w:sz w:val="20"/>
                <w:szCs w:val="20"/>
              </w:rPr>
              <w:fldChar w:fldCharType="end"/>
            </w:r>
          </w:p>
        </w:tc>
        <w:tc>
          <w:tcPr>
            <w:tcW w:w="1698" w:type="pct"/>
            <w:gridSpan w:val="2"/>
            <w:shd w:val="clear" w:color="auto" w:fill="auto"/>
          </w:tcPr>
          <w:p w14:paraId="36D8F279" w14:textId="77777777" w:rsidR="00646E80" w:rsidRPr="001731CE" w:rsidRDefault="00646E80" w:rsidP="00646E80">
            <w:pPr>
              <w:shd w:val="clear" w:color="auto" w:fill="FFFFFF"/>
              <w:ind w:left="5"/>
              <w:rPr>
                <w:vanish/>
                <w:color w:val="000000"/>
                <w:sz w:val="20"/>
                <w:szCs w:val="20"/>
              </w:rPr>
            </w:pPr>
            <w:r w:rsidRPr="001731CE">
              <w:rPr>
                <w:vanish/>
                <w:color w:val="000000"/>
                <w:sz w:val="20"/>
                <w:szCs w:val="20"/>
              </w:rPr>
              <w:fldChar w:fldCharType="begin">
                <w:ffData>
                  <w:name w:val="CofinType_06"/>
                  <w:enabled/>
                  <w:calcOnExit w:val="0"/>
                  <w:ddList>
                    <w:listEntry w:val="(select)"/>
                    <w:listEntry w:val="Grant"/>
                    <w:listEntry w:val="Soft Loan"/>
                    <w:listEntry w:val="Hard Loan"/>
                    <w:listEntry w:val="Guarantee"/>
                    <w:listEntry w:val="In-kind"/>
                    <w:listEntry w:val="Unknown at this stage"/>
                  </w:ddList>
                </w:ffData>
              </w:fldChar>
            </w:r>
            <w:r w:rsidRPr="001731CE">
              <w:rPr>
                <w:vanish/>
                <w:color w:val="000000"/>
                <w:sz w:val="20"/>
                <w:szCs w:val="20"/>
              </w:rPr>
              <w:instrText xml:space="preserve"> FORMDROPDOWN </w:instrText>
            </w:r>
            <w:r w:rsidR="00A755A1">
              <w:rPr>
                <w:vanish/>
                <w:color w:val="000000"/>
                <w:sz w:val="20"/>
                <w:szCs w:val="20"/>
              </w:rPr>
            </w:r>
            <w:r w:rsidR="00A755A1">
              <w:rPr>
                <w:vanish/>
                <w:color w:val="000000"/>
                <w:sz w:val="20"/>
                <w:szCs w:val="20"/>
              </w:rPr>
              <w:fldChar w:fldCharType="separate"/>
            </w:r>
            <w:r w:rsidRPr="001731CE">
              <w:rPr>
                <w:vanish/>
                <w:color w:val="000000"/>
                <w:sz w:val="20"/>
                <w:szCs w:val="20"/>
              </w:rPr>
              <w:fldChar w:fldCharType="end"/>
            </w:r>
          </w:p>
        </w:tc>
        <w:tc>
          <w:tcPr>
            <w:tcW w:w="612" w:type="pct"/>
          </w:tcPr>
          <w:p w14:paraId="3BDACD38" w14:textId="77777777" w:rsidR="00646E80" w:rsidRPr="001731CE" w:rsidRDefault="00646E80" w:rsidP="00646E80">
            <w:pPr>
              <w:shd w:val="clear" w:color="auto" w:fill="FFFFFF"/>
              <w:ind w:left="-6"/>
              <w:jc w:val="right"/>
              <w:rPr>
                <w:vanish/>
                <w:color w:val="000000"/>
                <w:sz w:val="20"/>
                <w:szCs w:val="20"/>
              </w:rPr>
            </w:pPr>
            <w:r w:rsidRPr="001731CE">
              <w:rPr>
                <w:vanish/>
                <w:color w:val="000000"/>
                <w:sz w:val="20"/>
                <w:szCs w:val="20"/>
              </w:rPr>
              <w:fldChar w:fldCharType="begin">
                <w:ffData>
                  <w:name w:val="CofinTotal_06"/>
                  <w:enabled/>
                  <w:calcOnExit w:val="0"/>
                  <w:textInput>
                    <w:type w:val="number"/>
                  </w:textInput>
                </w:ffData>
              </w:fldChar>
            </w:r>
            <w:r w:rsidRPr="001731CE">
              <w:rPr>
                <w:vanish/>
                <w:color w:val="000000"/>
                <w:sz w:val="20"/>
                <w:szCs w:val="20"/>
              </w:rPr>
              <w:instrText xml:space="preserve"> FORMTEXT </w:instrText>
            </w:r>
            <w:r w:rsidRPr="001731CE">
              <w:rPr>
                <w:vanish/>
                <w:color w:val="000000"/>
                <w:sz w:val="20"/>
                <w:szCs w:val="20"/>
              </w:rPr>
            </w:r>
            <w:r w:rsidRPr="001731CE">
              <w:rPr>
                <w:vanish/>
                <w:color w:val="000000"/>
                <w:sz w:val="20"/>
                <w:szCs w:val="20"/>
              </w:rPr>
              <w:fldChar w:fldCharType="separate"/>
            </w:r>
            <w:r w:rsidRPr="001731CE">
              <w:rPr>
                <w:noProof/>
                <w:vanish/>
                <w:color w:val="000000"/>
                <w:sz w:val="20"/>
                <w:szCs w:val="20"/>
              </w:rPr>
              <w:t> </w:t>
            </w:r>
            <w:r w:rsidRPr="001731CE">
              <w:rPr>
                <w:noProof/>
                <w:vanish/>
                <w:color w:val="000000"/>
                <w:sz w:val="20"/>
                <w:szCs w:val="20"/>
              </w:rPr>
              <w:t> </w:t>
            </w:r>
            <w:r w:rsidRPr="001731CE">
              <w:rPr>
                <w:noProof/>
                <w:vanish/>
                <w:color w:val="000000"/>
                <w:sz w:val="20"/>
                <w:szCs w:val="20"/>
              </w:rPr>
              <w:t> </w:t>
            </w:r>
            <w:r w:rsidRPr="001731CE">
              <w:rPr>
                <w:noProof/>
                <w:vanish/>
                <w:color w:val="000000"/>
                <w:sz w:val="20"/>
                <w:szCs w:val="20"/>
              </w:rPr>
              <w:t> </w:t>
            </w:r>
            <w:r w:rsidRPr="001731CE">
              <w:rPr>
                <w:noProof/>
                <w:vanish/>
                <w:color w:val="000000"/>
                <w:sz w:val="20"/>
                <w:szCs w:val="20"/>
              </w:rPr>
              <w:t> </w:t>
            </w:r>
            <w:r w:rsidRPr="001731CE">
              <w:rPr>
                <w:vanish/>
                <w:color w:val="000000"/>
                <w:sz w:val="20"/>
                <w:szCs w:val="20"/>
              </w:rPr>
              <w:fldChar w:fldCharType="end"/>
            </w:r>
          </w:p>
        </w:tc>
      </w:tr>
      <w:tr w:rsidR="00646E80" w:rsidRPr="001731CE" w14:paraId="1F4F0682" w14:textId="77777777" w:rsidTr="001A17CC">
        <w:trPr>
          <w:cantSplit/>
        </w:trPr>
        <w:tc>
          <w:tcPr>
            <w:tcW w:w="1015" w:type="pct"/>
            <w:tcBorders>
              <w:top w:val="double" w:sz="4" w:space="0" w:color="auto"/>
              <w:bottom w:val="double" w:sz="4" w:space="0" w:color="auto"/>
            </w:tcBorders>
          </w:tcPr>
          <w:p w14:paraId="1556E9E9" w14:textId="77777777" w:rsidR="00646E80" w:rsidRPr="001731CE" w:rsidRDefault="00646E80" w:rsidP="00646E80">
            <w:pPr>
              <w:shd w:val="clear" w:color="auto" w:fill="FFFFFF"/>
              <w:rPr>
                <w:b/>
                <w:color w:val="000000"/>
                <w:sz w:val="20"/>
                <w:szCs w:val="20"/>
              </w:rPr>
            </w:pPr>
            <w:r w:rsidRPr="001731CE">
              <w:rPr>
                <w:b/>
                <w:color w:val="000000"/>
                <w:sz w:val="20"/>
                <w:szCs w:val="20"/>
              </w:rPr>
              <w:t>Total Co-financing</w:t>
            </w:r>
          </w:p>
        </w:tc>
        <w:tc>
          <w:tcPr>
            <w:tcW w:w="1675" w:type="pct"/>
            <w:tcBorders>
              <w:top w:val="double" w:sz="4" w:space="0" w:color="auto"/>
              <w:bottom w:val="double" w:sz="4" w:space="0" w:color="auto"/>
            </w:tcBorders>
            <w:shd w:val="clear" w:color="auto" w:fill="CCCCCC"/>
          </w:tcPr>
          <w:p w14:paraId="42585614" w14:textId="77777777" w:rsidR="00646E80" w:rsidRPr="001731CE" w:rsidRDefault="00646E80" w:rsidP="00646E80">
            <w:pPr>
              <w:shd w:val="clear" w:color="auto" w:fill="FFFFFF"/>
              <w:rPr>
                <w:color w:val="000000"/>
                <w:sz w:val="20"/>
                <w:szCs w:val="20"/>
              </w:rPr>
            </w:pPr>
          </w:p>
        </w:tc>
        <w:tc>
          <w:tcPr>
            <w:tcW w:w="1698" w:type="pct"/>
            <w:gridSpan w:val="2"/>
            <w:tcBorders>
              <w:top w:val="double" w:sz="4" w:space="0" w:color="auto"/>
              <w:bottom w:val="double" w:sz="4" w:space="0" w:color="auto"/>
            </w:tcBorders>
            <w:shd w:val="clear" w:color="auto" w:fill="CCCCCC"/>
          </w:tcPr>
          <w:p w14:paraId="51EB0D37" w14:textId="77777777" w:rsidR="00646E80" w:rsidRPr="001731CE" w:rsidRDefault="00646E80" w:rsidP="00646E80">
            <w:pPr>
              <w:shd w:val="clear" w:color="auto" w:fill="FFFFFF"/>
              <w:ind w:left="5"/>
              <w:jc w:val="right"/>
              <w:rPr>
                <w:color w:val="000000"/>
                <w:sz w:val="20"/>
                <w:szCs w:val="20"/>
              </w:rPr>
            </w:pPr>
          </w:p>
        </w:tc>
        <w:tc>
          <w:tcPr>
            <w:tcW w:w="612" w:type="pct"/>
            <w:tcBorders>
              <w:top w:val="double" w:sz="4" w:space="0" w:color="auto"/>
              <w:bottom w:val="double" w:sz="4" w:space="0" w:color="auto"/>
            </w:tcBorders>
          </w:tcPr>
          <w:p w14:paraId="4166C98D" w14:textId="4B538F7A" w:rsidR="00646E80" w:rsidRPr="001731CE" w:rsidRDefault="00646E80" w:rsidP="00646E80">
            <w:pPr>
              <w:shd w:val="clear" w:color="auto" w:fill="FFFFFF"/>
              <w:ind w:left="-6"/>
              <w:jc w:val="right"/>
              <w:rPr>
                <w:color w:val="000000"/>
                <w:sz w:val="20"/>
                <w:szCs w:val="20"/>
              </w:rPr>
            </w:pPr>
            <w:r>
              <w:rPr>
                <w:color w:val="000000"/>
                <w:sz w:val="20"/>
                <w:szCs w:val="20"/>
              </w:rPr>
              <w:t>7</w:t>
            </w:r>
            <w:r w:rsidR="001814BA">
              <w:rPr>
                <w:color w:val="000000"/>
                <w:sz w:val="20"/>
                <w:szCs w:val="20"/>
              </w:rPr>
              <w:t>7</w:t>
            </w:r>
            <w:r>
              <w:rPr>
                <w:color w:val="000000"/>
                <w:sz w:val="20"/>
                <w:szCs w:val="20"/>
              </w:rPr>
              <w:t>0,000</w:t>
            </w:r>
          </w:p>
        </w:tc>
      </w:tr>
    </w:tbl>
    <w:p w14:paraId="35B96C5D" w14:textId="77777777" w:rsidR="0076121E" w:rsidRPr="001731CE" w:rsidRDefault="0076121E" w:rsidP="00AA4E74">
      <w:pPr>
        <w:pStyle w:val="GEFTableHeading"/>
        <w:shd w:val="clear" w:color="auto" w:fill="FFFFFF"/>
        <w:rPr>
          <w:rFonts w:ascii="Times New Roman" w:hAnsi="Times New Roman"/>
        </w:rPr>
      </w:pPr>
    </w:p>
    <w:p w14:paraId="257EFC09" w14:textId="77777777" w:rsidR="00276471" w:rsidRPr="001731CE" w:rsidRDefault="0076121E" w:rsidP="00AA4E74">
      <w:pPr>
        <w:pStyle w:val="GEFTableHeading"/>
        <w:shd w:val="clear" w:color="auto" w:fill="FFFFFF"/>
        <w:spacing w:after="80"/>
        <w:rPr>
          <w:rFonts w:ascii="Times New Roman" w:hAnsi="Times New Roman"/>
        </w:rPr>
      </w:pPr>
      <w:r w:rsidRPr="001731CE">
        <w:rPr>
          <w:rFonts w:ascii="Times New Roman" w:hAnsi="Times New Roman"/>
        </w:rPr>
        <w:t xml:space="preserve">D. </w:t>
      </w:r>
      <w:r w:rsidR="00EB39F4" w:rsidRPr="001731CE">
        <w:rPr>
          <w:rFonts w:ascii="Times New Roman" w:hAnsi="Times New Roman"/>
        </w:rPr>
        <w:t>I</w:t>
      </w:r>
      <w:r w:rsidR="00BC472A" w:rsidRPr="001731CE">
        <w:rPr>
          <w:rFonts w:ascii="Times New Roman" w:hAnsi="Times New Roman"/>
        </w:rPr>
        <w:t xml:space="preserve">ndicative </w:t>
      </w:r>
      <w:r w:rsidR="00EB39F4" w:rsidRPr="001731CE">
        <w:rPr>
          <w:rFonts w:ascii="Times New Roman" w:hAnsi="Times New Roman"/>
        </w:rPr>
        <w:t>T</w:t>
      </w:r>
      <w:r w:rsidR="007F44AA" w:rsidRPr="001731CE">
        <w:rPr>
          <w:rFonts w:ascii="Times New Roman" w:hAnsi="Times New Roman"/>
        </w:rPr>
        <w:t xml:space="preserve">rust </w:t>
      </w:r>
      <w:r w:rsidR="00EB39F4" w:rsidRPr="001731CE">
        <w:rPr>
          <w:rFonts w:ascii="Times New Roman" w:hAnsi="Times New Roman"/>
        </w:rPr>
        <w:t>F</w:t>
      </w:r>
      <w:r w:rsidR="007F44AA" w:rsidRPr="001731CE">
        <w:rPr>
          <w:rFonts w:ascii="Times New Roman" w:hAnsi="Times New Roman"/>
        </w:rPr>
        <w:t>und</w:t>
      </w:r>
      <w:r w:rsidR="005B6ABF" w:rsidRPr="001731CE">
        <w:rPr>
          <w:rFonts w:ascii="Times New Roman" w:hAnsi="Times New Roman"/>
        </w:rPr>
        <w:t xml:space="preserve"> </w:t>
      </w:r>
      <w:r w:rsidR="00107376" w:rsidRPr="001731CE">
        <w:rPr>
          <w:rFonts w:ascii="Times New Roman" w:hAnsi="Times New Roman"/>
        </w:rPr>
        <w:t xml:space="preserve"> Res</w:t>
      </w:r>
      <w:r w:rsidR="005B6ABF" w:rsidRPr="001731CE">
        <w:rPr>
          <w:rFonts w:ascii="Times New Roman" w:hAnsi="Times New Roman"/>
        </w:rPr>
        <w:t>ources</w:t>
      </w:r>
      <w:r w:rsidR="00667450" w:rsidRPr="001731CE">
        <w:rPr>
          <w:rFonts w:ascii="Times New Roman" w:hAnsi="Times New Roman"/>
        </w:rPr>
        <w:t xml:space="preserve"> </w:t>
      </w:r>
      <w:r w:rsidR="005B6ABF" w:rsidRPr="001731CE">
        <w:rPr>
          <w:rFonts w:ascii="Times New Roman" w:hAnsi="Times New Roman"/>
        </w:rPr>
        <w:t>Requested by Agency</w:t>
      </w:r>
      <w:r w:rsidR="00C36288" w:rsidRPr="001731CE">
        <w:rPr>
          <w:rFonts w:ascii="Times New Roman" w:hAnsi="Times New Roman"/>
        </w:rPr>
        <w:t>(</w:t>
      </w:r>
      <w:proofErr w:type="spellStart"/>
      <w:r w:rsidR="00C36288" w:rsidRPr="001731CE">
        <w:rPr>
          <w:rFonts w:ascii="Times New Roman" w:hAnsi="Times New Roman"/>
        </w:rPr>
        <w:t>ies</w:t>
      </w:r>
      <w:proofErr w:type="spellEnd"/>
      <w:r w:rsidR="00C36288" w:rsidRPr="001731CE">
        <w:rPr>
          <w:rFonts w:ascii="Times New Roman" w:hAnsi="Times New Roman"/>
        </w:rPr>
        <w:t>)</w:t>
      </w:r>
      <w:r w:rsidR="005B6ABF" w:rsidRPr="001731CE">
        <w:rPr>
          <w:rFonts w:ascii="Times New Roman" w:hAnsi="Times New Roman"/>
        </w:rPr>
        <w:t xml:space="preserve">, </w:t>
      </w:r>
      <w:r w:rsidR="00107376" w:rsidRPr="001731CE">
        <w:rPr>
          <w:rFonts w:ascii="Times New Roman" w:hAnsi="Times New Roman"/>
        </w:rPr>
        <w:t xml:space="preserve"> Country</w:t>
      </w:r>
      <w:r w:rsidR="00C36288" w:rsidRPr="001731CE">
        <w:rPr>
          <w:rFonts w:ascii="Times New Roman" w:hAnsi="Times New Roman"/>
        </w:rPr>
        <w:t>(</w:t>
      </w:r>
      <w:proofErr w:type="spellStart"/>
      <w:r w:rsidR="00C36288" w:rsidRPr="001731CE">
        <w:rPr>
          <w:rFonts w:ascii="Times New Roman" w:hAnsi="Times New Roman"/>
        </w:rPr>
        <w:t>ies</w:t>
      </w:r>
      <w:proofErr w:type="spellEnd"/>
      <w:r w:rsidR="00C36288" w:rsidRPr="001731CE">
        <w:rPr>
          <w:rFonts w:ascii="Times New Roman" w:hAnsi="Times New Roman"/>
        </w:rPr>
        <w:t>)</w:t>
      </w:r>
      <w:r w:rsidR="0061725B" w:rsidRPr="001731CE">
        <w:rPr>
          <w:rFonts w:ascii="Times New Roman" w:hAnsi="Times New Roman"/>
        </w:rPr>
        <w:t>, Focal Area</w:t>
      </w:r>
      <w:r w:rsidR="00F43951" w:rsidRPr="001731CE">
        <w:rPr>
          <w:rFonts w:ascii="Times New Roman" w:hAnsi="Times New Roman"/>
        </w:rPr>
        <w:t xml:space="preserve"> and </w:t>
      </w:r>
      <w:r w:rsidR="00C36288" w:rsidRPr="001731CE">
        <w:rPr>
          <w:rFonts w:ascii="Times New Roman" w:hAnsi="Times New Roman"/>
        </w:rPr>
        <w:t xml:space="preserve">the Programming </w:t>
      </w:r>
      <w:r w:rsidR="00F43951" w:rsidRPr="001731CE">
        <w:rPr>
          <w:rFonts w:ascii="Times New Roman" w:hAnsi="Times New Roman"/>
        </w:rPr>
        <w:t>of Funds</w:t>
      </w:r>
      <w:r w:rsidR="00091854" w:rsidRPr="001731CE">
        <w:rPr>
          <w:rFonts w:ascii="Times New Roman" w:hAnsi="Times New Roman"/>
        </w:rPr>
        <w:t xml:space="preserve"> </w:t>
      </w:r>
    </w:p>
    <w:tbl>
      <w:tblPr>
        <w:tblW w:w="5325"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828"/>
        <w:gridCol w:w="1456"/>
        <w:gridCol w:w="1511"/>
        <w:gridCol w:w="1893"/>
        <w:gridCol w:w="1158"/>
        <w:gridCol w:w="1160"/>
        <w:gridCol w:w="1326"/>
      </w:tblGrid>
      <w:tr w:rsidR="00132636" w:rsidRPr="001731CE" w14:paraId="1074D6F4" w14:textId="77777777" w:rsidTr="00DE15B6">
        <w:trPr>
          <w:trHeight w:val="172"/>
        </w:trPr>
        <w:tc>
          <w:tcPr>
            <w:tcW w:w="446" w:type="pct"/>
            <w:vMerge w:val="restart"/>
            <w:shd w:val="clear" w:color="auto" w:fill="auto"/>
            <w:vAlign w:val="center"/>
          </w:tcPr>
          <w:p w14:paraId="1397AD5B" w14:textId="77777777" w:rsidR="00132636" w:rsidRPr="001731CE" w:rsidRDefault="00132636" w:rsidP="00AA4E74">
            <w:pPr>
              <w:shd w:val="clear" w:color="auto" w:fill="FFFFFF"/>
              <w:jc w:val="center"/>
              <w:rPr>
                <w:b/>
                <w:color w:val="000000"/>
                <w:sz w:val="22"/>
                <w:szCs w:val="22"/>
              </w:rPr>
            </w:pPr>
            <w:r w:rsidRPr="001731CE">
              <w:rPr>
                <w:b/>
                <w:color w:val="000000"/>
                <w:sz w:val="22"/>
                <w:szCs w:val="22"/>
              </w:rPr>
              <w:t>GEF Agency</w:t>
            </w:r>
          </w:p>
        </w:tc>
        <w:tc>
          <w:tcPr>
            <w:tcW w:w="404" w:type="pct"/>
            <w:vMerge w:val="restart"/>
            <w:vAlign w:val="center"/>
          </w:tcPr>
          <w:p w14:paraId="3CE2257F" w14:textId="77777777" w:rsidR="00132636" w:rsidRPr="001731CE" w:rsidRDefault="00132636" w:rsidP="00AA4E74">
            <w:pPr>
              <w:shd w:val="clear" w:color="auto" w:fill="FFFFFF"/>
              <w:jc w:val="center"/>
              <w:rPr>
                <w:b/>
                <w:color w:val="000000"/>
                <w:sz w:val="22"/>
                <w:szCs w:val="22"/>
              </w:rPr>
            </w:pPr>
            <w:r w:rsidRPr="001731CE">
              <w:rPr>
                <w:b/>
                <w:color w:val="000000"/>
                <w:sz w:val="22"/>
                <w:szCs w:val="22"/>
              </w:rPr>
              <w:t>Trust Fund</w:t>
            </w:r>
          </w:p>
        </w:tc>
        <w:tc>
          <w:tcPr>
            <w:tcW w:w="711" w:type="pct"/>
            <w:vMerge w:val="restart"/>
            <w:shd w:val="clear" w:color="auto" w:fill="auto"/>
            <w:vAlign w:val="center"/>
          </w:tcPr>
          <w:p w14:paraId="4AC53DC5" w14:textId="77777777" w:rsidR="00132636" w:rsidRPr="001731CE" w:rsidRDefault="00132636" w:rsidP="00AA4E74">
            <w:pPr>
              <w:shd w:val="clear" w:color="auto" w:fill="FFFFFF"/>
              <w:jc w:val="center"/>
              <w:rPr>
                <w:b/>
                <w:color w:val="000000"/>
                <w:sz w:val="22"/>
                <w:szCs w:val="22"/>
              </w:rPr>
            </w:pPr>
            <w:r w:rsidRPr="001731CE">
              <w:rPr>
                <w:b/>
                <w:color w:val="000000"/>
                <w:sz w:val="22"/>
                <w:szCs w:val="22"/>
              </w:rPr>
              <w:t>Country/</w:t>
            </w:r>
          </w:p>
          <w:p w14:paraId="0BDF9718" w14:textId="77777777" w:rsidR="00132636" w:rsidRPr="001731CE" w:rsidRDefault="00132636" w:rsidP="00AA4E74">
            <w:pPr>
              <w:shd w:val="clear" w:color="auto" w:fill="FFFFFF"/>
              <w:jc w:val="center"/>
              <w:rPr>
                <w:b/>
                <w:color w:val="000000"/>
                <w:sz w:val="22"/>
                <w:szCs w:val="22"/>
              </w:rPr>
            </w:pPr>
            <w:r w:rsidRPr="001731CE">
              <w:rPr>
                <w:b/>
                <w:color w:val="000000"/>
                <w:sz w:val="22"/>
                <w:szCs w:val="22"/>
              </w:rPr>
              <w:t>Regional/ Global</w:t>
            </w:r>
            <w:r w:rsidRPr="001731CE">
              <w:rPr>
                <w:b/>
                <w:color w:val="000000"/>
                <w:sz w:val="22"/>
                <w:szCs w:val="22"/>
                <w:vertAlign w:val="superscript"/>
              </w:rPr>
              <w:t xml:space="preserve"> </w:t>
            </w:r>
          </w:p>
        </w:tc>
        <w:tc>
          <w:tcPr>
            <w:tcW w:w="737" w:type="pct"/>
            <w:vMerge w:val="restart"/>
            <w:shd w:val="clear" w:color="auto" w:fill="auto"/>
            <w:vAlign w:val="center"/>
          </w:tcPr>
          <w:p w14:paraId="1BB4361C" w14:textId="77777777" w:rsidR="00132636" w:rsidRPr="001731CE" w:rsidRDefault="00132636" w:rsidP="00AA4E74">
            <w:pPr>
              <w:shd w:val="clear" w:color="auto" w:fill="FFFFFF"/>
              <w:jc w:val="center"/>
              <w:rPr>
                <w:b/>
                <w:color w:val="000000"/>
                <w:sz w:val="22"/>
                <w:szCs w:val="22"/>
              </w:rPr>
            </w:pPr>
            <w:r w:rsidRPr="001731CE">
              <w:rPr>
                <w:b/>
                <w:color w:val="000000"/>
                <w:sz w:val="22"/>
                <w:szCs w:val="22"/>
              </w:rPr>
              <w:t>Focal Area</w:t>
            </w:r>
          </w:p>
        </w:tc>
        <w:tc>
          <w:tcPr>
            <w:tcW w:w="924" w:type="pct"/>
            <w:vMerge w:val="restart"/>
            <w:shd w:val="clear" w:color="auto" w:fill="auto"/>
            <w:vAlign w:val="center"/>
          </w:tcPr>
          <w:p w14:paraId="6B8C8119" w14:textId="77777777" w:rsidR="00132636" w:rsidRPr="001731CE" w:rsidRDefault="00132636" w:rsidP="00AA4E74">
            <w:pPr>
              <w:shd w:val="clear" w:color="auto" w:fill="FFFFFF"/>
              <w:jc w:val="center"/>
              <w:rPr>
                <w:b/>
                <w:color w:val="000000"/>
                <w:sz w:val="22"/>
                <w:szCs w:val="22"/>
              </w:rPr>
            </w:pPr>
            <w:r w:rsidRPr="001731CE">
              <w:rPr>
                <w:b/>
                <w:color w:val="000000"/>
                <w:sz w:val="22"/>
                <w:szCs w:val="22"/>
              </w:rPr>
              <w:t>Programming</w:t>
            </w:r>
          </w:p>
          <w:p w14:paraId="08418D61" w14:textId="77777777" w:rsidR="00132636" w:rsidRPr="001731CE" w:rsidRDefault="00132636" w:rsidP="00AA4E74">
            <w:pPr>
              <w:shd w:val="clear" w:color="auto" w:fill="FFFFFF"/>
              <w:jc w:val="center"/>
              <w:rPr>
                <w:b/>
                <w:color w:val="000000"/>
                <w:sz w:val="22"/>
                <w:szCs w:val="22"/>
              </w:rPr>
            </w:pPr>
            <w:r w:rsidRPr="001731CE">
              <w:rPr>
                <w:b/>
                <w:color w:val="000000"/>
                <w:sz w:val="22"/>
                <w:szCs w:val="22"/>
              </w:rPr>
              <w:t xml:space="preserve"> of Funds</w:t>
            </w:r>
          </w:p>
        </w:tc>
        <w:tc>
          <w:tcPr>
            <w:tcW w:w="1778" w:type="pct"/>
            <w:gridSpan w:val="3"/>
            <w:shd w:val="clear" w:color="auto" w:fill="auto"/>
            <w:vAlign w:val="center"/>
          </w:tcPr>
          <w:p w14:paraId="55D967ED" w14:textId="77777777" w:rsidR="00132636" w:rsidRPr="001731CE" w:rsidRDefault="00132636" w:rsidP="00AA4E74">
            <w:pPr>
              <w:shd w:val="clear" w:color="auto" w:fill="FFFFFF"/>
              <w:ind w:hanging="17"/>
              <w:jc w:val="center"/>
              <w:rPr>
                <w:b/>
                <w:color w:val="000000"/>
                <w:sz w:val="22"/>
                <w:szCs w:val="22"/>
              </w:rPr>
            </w:pPr>
            <w:r w:rsidRPr="001731CE">
              <w:rPr>
                <w:b/>
                <w:color w:val="000000"/>
                <w:sz w:val="22"/>
                <w:szCs w:val="22"/>
              </w:rPr>
              <w:t>(in $)</w:t>
            </w:r>
          </w:p>
        </w:tc>
      </w:tr>
      <w:tr w:rsidR="00132636" w:rsidRPr="001731CE" w14:paraId="7EEB40BC" w14:textId="77777777" w:rsidTr="00DE15B6">
        <w:trPr>
          <w:trHeight w:val="825"/>
        </w:trPr>
        <w:tc>
          <w:tcPr>
            <w:tcW w:w="446" w:type="pct"/>
            <w:vMerge/>
            <w:shd w:val="clear" w:color="auto" w:fill="auto"/>
            <w:vAlign w:val="center"/>
          </w:tcPr>
          <w:p w14:paraId="6D66F8AC" w14:textId="77777777" w:rsidR="00132636" w:rsidRPr="001731CE" w:rsidRDefault="00132636" w:rsidP="00AA4E74">
            <w:pPr>
              <w:shd w:val="clear" w:color="auto" w:fill="FFFFFF"/>
              <w:jc w:val="center"/>
              <w:rPr>
                <w:b/>
                <w:color w:val="000000"/>
                <w:sz w:val="22"/>
                <w:szCs w:val="22"/>
              </w:rPr>
            </w:pPr>
          </w:p>
        </w:tc>
        <w:tc>
          <w:tcPr>
            <w:tcW w:w="404" w:type="pct"/>
            <w:vMerge/>
            <w:vAlign w:val="center"/>
          </w:tcPr>
          <w:p w14:paraId="225EDADE" w14:textId="77777777" w:rsidR="00132636" w:rsidRPr="001731CE" w:rsidRDefault="00132636" w:rsidP="00AA4E74">
            <w:pPr>
              <w:shd w:val="clear" w:color="auto" w:fill="FFFFFF"/>
              <w:jc w:val="center"/>
              <w:rPr>
                <w:b/>
                <w:color w:val="000000"/>
                <w:sz w:val="22"/>
                <w:szCs w:val="22"/>
              </w:rPr>
            </w:pPr>
          </w:p>
        </w:tc>
        <w:tc>
          <w:tcPr>
            <w:tcW w:w="711" w:type="pct"/>
            <w:vMerge/>
            <w:shd w:val="clear" w:color="auto" w:fill="auto"/>
            <w:vAlign w:val="center"/>
          </w:tcPr>
          <w:p w14:paraId="2BFF3E35" w14:textId="77777777" w:rsidR="00132636" w:rsidRPr="001731CE" w:rsidRDefault="00132636" w:rsidP="00AA4E74">
            <w:pPr>
              <w:shd w:val="clear" w:color="auto" w:fill="FFFFFF"/>
              <w:jc w:val="center"/>
              <w:rPr>
                <w:b/>
                <w:color w:val="000000"/>
                <w:sz w:val="22"/>
                <w:szCs w:val="22"/>
              </w:rPr>
            </w:pPr>
          </w:p>
        </w:tc>
        <w:tc>
          <w:tcPr>
            <w:tcW w:w="737" w:type="pct"/>
            <w:vMerge/>
            <w:shd w:val="clear" w:color="auto" w:fill="auto"/>
            <w:vAlign w:val="center"/>
          </w:tcPr>
          <w:p w14:paraId="7A023CA2" w14:textId="77777777" w:rsidR="00132636" w:rsidRPr="001731CE" w:rsidRDefault="00132636" w:rsidP="00AA4E74">
            <w:pPr>
              <w:shd w:val="clear" w:color="auto" w:fill="FFFFFF"/>
              <w:jc w:val="center"/>
              <w:rPr>
                <w:b/>
                <w:color w:val="000000"/>
                <w:sz w:val="22"/>
                <w:szCs w:val="22"/>
              </w:rPr>
            </w:pPr>
          </w:p>
        </w:tc>
        <w:tc>
          <w:tcPr>
            <w:tcW w:w="924" w:type="pct"/>
            <w:vMerge/>
            <w:shd w:val="clear" w:color="auto" w:fill="auto"/>
            <w:vAlign w:val="center"/>
          </w:tcPr>
          <w:p w14:paraId="42DD1AB2" w14:textId="77777777" w:rsidR="00132636" w:rsidRPr="001731CE" w:rsidRDefault="00132636" w:rsidP="00AA4E74">
            <w:pPr>
              <w:shd w:val="clear" w:color="auto" w:fill="FFFFFF"/>
              <w:jc w:val="center"/>
              <w:rPr>
                <w:b/>
                <w:color w:val="000000"/>
                <w:sz w:val="22"/>
                <w:szCs w:val="22"/>
              </w:rPr>
            </w:pPr>
          </w:p>
        </w:tc>
        <w:tc>
          <w:tcPr>
            <w:tcW w:w="565" w:type="pct"/>
            <w:shd w:val="clear" w:color="auto" w:fill="auto"/>
            <w:vAlign w:val="center"/>
          </w:tcPr>
          <w:p w14:paraId="375604A4" w14:textId="77777777" w:rsidR="00132636" w:rsidRPr="001731CE" w:rsidRDefault="00132636" w:rsidP="00AA4E74">
            <w:pPr>
              <w:shd w:val="clear" w:color="auto" w:fill="FFFFFF"/>
              <w:jc w:val="center"/>
              <w:rPr>
                <w:b/>
                <w:color w:val="000000"/>
                <w:sz w:val="22"/>
                <w:szCs w:val="22"/>
              </w:rPr>
            </w:pPr>
            <w:r w:rsidRPr="001731CE">
              <w:rPr>
                <w:b/>
                <w:color w:val="000000"/>
                <w:sz w:val="22"/>
                <w:szCs w:val="22"/>
              </w:rPr>
              <w:t>GEF Project Financing  (a)</w:t>
            </w:r>
          </w:p>
        </w:tc>
        <w:tc>
          <w:tcPr>
            <w:tcW w:w="566" w:type="pct"/>
            <w:shd w:val="clear" w:color="auto" w:fill="auto"/>
            <w:vAlign w:val="center"/>
          </w:tcPr>
          <w:p w14:paraId="79FCE995" w14:textId="77777777" w:rsidR="00132636" w:rsidRPr="001731CE" w:rsidRDefault="00132636" w:rsidP="00AA4E74">
            <w:pPr>
              <w:shd w:val="clear" w:color="auto" w:fill="FFFFFF"/>
              <w:jc w:val="center"/>
              <w:rPr>
                <w:b/>
                <w:color w:val="000000"/>
                <w:sz w:val="22"/>
                <w:szCs w:val="22"/>
              </w:rPr>
            </w:pPr>
            <w:r w:rsidRPr="001731CE">
              <w:rPr>
                <w:color w:val="000000"/>
                <w:sz w:val="22"/>
                <w:szCs w:val="22"/>
              </w:rPr>
              <w:t>Agency Fee</w:t>
            </w:r>
            <w:r w:rsidRPr="001731CE">
              <w:rPr>
                <w:b/>
                <w:color w:val="000000"/>
                <w:sz w:val="22"/>
                <w:szCs w:val="22"/>
              </w:rPr>
              <w:t xml:space="preserve"> (b)</w:t>
            </w:r>
          </w:p>
        </w:tc>
        <w:tc>
          <w:tcPr>
            <w:tcW w:w="647" w:type="pct"/>
            <w:shd w:val="clear" w:color="auto" w:fill="auto"/>
            <w:vAlign w:val="center"/>
          </w:tcPr>
          <w:p w14:paraId="7699E972" w14:textId="77777777" w:rsidR="00132636" w:rsidRPr="001731CE" w:rsidRDefault="00132636" w:rsidP="00AA4E74">
            <w:pPr>
              <w:shd w:val="clear" w:color="auto" w:fill="FFFFFF"/>
              <w:ind w:hanging="17"/>
              <w:rPr>
                <w:b/>
                <w:color w:val="000000"/>
                <w:sz w:val="22"/>
                <w:szCs w:val="22"/>
              </w:rPr>
            </w:pPr>
            <w:r w:rsidRPr="001731CE">
              <w:rPr>
                <w:b/>
                <w:color w:val="000000"/>
                <w:sz w:val="22"/>
                <w:szCs w:val="22"/>
              </w:rPr>
              <w:t>Total</w:t>
            </w:r>
          </w:p>
          <w:p w14:paraId="099D9F0C" w14:textId="77777777" w:rsidR="00132636" w:rsidRPr="001731CE" w:rsidRDefault="00132636" w:rsidP="00AA4E74">
            <w:pPr>
              <w:shd w:val="clear" w:color="auto" w:fill="FFFFFF"/>
              <w:ind w:hanging="17"/>
              <w:rPr>
                <w:b/>
                <w:color w:val="000000"/>
                <w:sz w:val="22"/>
                <w:szCs w:val="22"/>
              </w:rPr>
            </w:pPr>
            <w:r w:rsidRPr="001731CE">
              <w:rPr>
                <w:b/>
                <w:color w:val="000000"/>
                <w:sz w:val="22"/>
                <w:szCs w:val="22"/>
              </w:rPr>
              <w:t>(c)=</w:t>
            </w:r>
            <w:proofErr w:type="spellStart"/>
            <w:r w:rsidRPr="001731CE">
              <w:rPr>
                <w:b/>
                <w:color w:val="000000"/>
                <w:sz w:val="22"/>
                <w:szCs w:val="22"/>
              </w:rPr>
              <w:t>a+b</w:t>
            </w:r>
            <w:proofErr w:type="spellEnd"/>
          </w:p>
        </w:tc>
      </w:tr>
      <w:tr w:rsidR="00B64FBC" w:rsidRPr="001731CE" w14:paraId="282D3FE4" w14:textId="77777777" w:rsidTr="00DE15B6">
        <w:trPr>
          <w:trHeight w:val="445"/>
        </w:trPr>
        <w:tc>
          <w:tcPr>
            <w:tcW w:w="446" w:type="pct"/>
            <w:shd w:val="clear" w:color="auto" w:fill="auto"/>
          </w:tcPr>
          <w:p w14:paraId="221F610A" w14:textId="77777777" w:rsidR="00B64FBC" w:rsidRPr="001731CE" w:rsidRDefault="00164096" w:rsidP="00AA4E74">
            <w:pPr>
              <w:shd w:val="clear" w:color="auto" w:fill="FFFFFF"/>
            </w:pPr>
            <w:r>
              <w:rPr>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UNDP"/>
                    <w:listEntry w:val="(select)"/>
                    <w:listEntry w:val="ADB"/>
                    <w:listEntry w:val="AfDB"/>
                    <w:listEntry w:val="CI"/>
                    <w:listEntry w:val="DBSA"/>
                    <w:listEntry w:val="EBRD"/>
                    <w:listEntry w:val="FAO"/>
                    <w:listEntry w:val="FUNBIO"/>
                    <w:listEntry w:val="IADB"/>
                    <w:listEntry w:val="IFAD"/>
                    <w:listEntry w:val="IUCN"/>
                    <w:listEntry w:val="UNEP"/>
                    <w:listEntry w:val="UNIDO"/>
                    <w:listEntry w:val="WB"/>
                    <w:listEntry w:val="WWF-US"/>
                    <w:listEntry w:val="FECO"/>
                    <w:listEntry w:val="CAF"/>
                    <w:listEntry w:val="BOAD"/>
                  </w:ddList>
                </w:ffData>
              </w:fldChar>
            </w:r>
            <w:r>
              <w:rPr>
                <w:color w:val="000000"/>
                <w:sz w:val="20"/>
                <w:szCs w:val="20"/>
              </w:rPr>
              <w:instrText xml:space="preserve"> FORMDROPDOWN </w:instrText>
            </w:r>
            <w:r w:rsidR="00A755A1">
              <w:rPr>
                <w:color w:val="000000"/>
                <w:sz w:val="20"/>
                <w:szCs w:val="20"/>
              </w:rPr>
            </w:r>
            <w:r w:rsidR="00A755A1">
              <w:rPr>
                <w:color w:val="000000"/>
                <w:sz w:val="20"/>
                <w:szCs w:val="20"/>
              </w:rPr>
              <w:fldChar w:fldCharType="separate"/>
            </w:r>
            <w:r>
              <w:rPr>
                <w:color w:val="000000"/>
                <w:sz w:val="20"/>
                <w:szCs w:val="20"/>
              </w:rPr>
              <w:fldChar w:fldCharType="end"/>
            </w:r>
            <w:r w:rsidR="00B64FBC" w:rsidRPr="001731CE">
              <w:rPr>
                <w:color w:val="000000"/>
                <w:sz w:val="20"/>
                <w:szCs w:val="20"/>
              </w:rPr>
              <w:t xml:space="preserve"> </w:t>
            </w:r>
          </w:p>
        </w:tc>
        <w:tc>
          <w:tcPr>
            <w:tcW w:w="404" w:type="pct"/>
          </w:tcPr>
          <w:p w14:paraId="28DA701C" w14:textId="77777777" w:rsidR="00B64FBC" w:rsidRPr="001731CE" w:rsidRDefault="00164096" w:rsidP="00AA4E74">
            <w:pPr>
              <w:shd w:val="clear" w:color="auto" w:fill="FFFFFF"/>
              <w:rPr>
                <w:color w:val="000000"/>
              </w:rPr>
            </w:pPr>
            <w:r>
              <w:rPr>
                <w:color w:val="000000"/>
                <w:sz w:val="20"/>
                <w:szCs w:val="20"/>
              </w:rPr>
              <w:fldChar w:fldCharType="begin">
                <w:ffData>
                  <w:name w:val="D_TF_01"/>
                  <w:enabled/>
                  <w:calcOnExit w:val="0"/>
                  <w:ddList>
                    <w:listEntry w:val="GEFTF"/>
                    <w:listEntry w:val="(select)"/>
                    <w:listEntry w:val="LDCF"/>
                    <w:listEntry w:val="SCCF-A"/>
                    <w:listEntry w:val="SCCF-B"/>
                  </w:ddList>
                </w:ffData>
              </w:fldChar>
            </w:r>
            <w:bookmarkStart w:id="15" w:name="D_TF_01"/>
            <w:r>
              <w:rPr>
                <w:color w:val="000000"/>
                <w:sz w:val="20"/>
                <w:szCs w:val="20"/>
              </w:rPr>
              <w:instrText xml:space="preserve"> FORMDROPDOWN </w:instrText>
            </w:r>
            <w:r w:rsidR="00A755A1">
              <w:rPr>
                <w:color w:val="000000"/>
                <w:sz w:val="20"/>
                <w:szCs w:val="20"/>
              </w:rPr>
            </w:r>
            <w:r w:rsidR="00A755A1">
              <w:rPr>
                <w:color w:val="000000"/>
                <w:sz w:val="20"/>
                <w:szCs w:val="20"/>
              </w:rPr>
              <w:fldChar w:fldCharType="separate"/>
            </w:r>
            <w:r>
              <w:rPr>
                <w:color w:val="000000"/>
                <w:sz w:val="20"/>
                <w:szCs w:val="20"/>
              </w:rPr>
              <w:fldChar w:fldCharType="end"/>
            </w:r>
            <w:bookmarkEnd w:id="15"/>
          </w:p>
        </w:tc>
        <w:tc>
          <w:tcPr>
            <w:tcW w:w="711" w:type="pct"/>
            <w:shd w:val="clear" w:color="auto" w:fill="auto"/>
          </w:tcPr>
          <w:p w14:paraId="5F0BB3D8" w14:textId="77777777" w:rsidR="00B64FBC" w:rsidRPr="001731CE" w:rsidRDefault="00164096" w:rsidP="00AA4E74">
            <w:pPr>
              <w:shd w:val="clear" w:color="auto" w:fill="FFFFFF"/>
              <w:rPr>
                <w:color w:val="000000"/>
                <w:sz w:val="20"/>
                <w:szCs w:val="20"/>
              </w:rPr>
            </w:pPr>
            <w:r>
              <w:rPr>
                <w:color w:val="000000"/>
                <w:sz w:val="20"/>
                <w:szCs w:val="20"/>
              </w:rPr>
              <w:t>Mauritius</w:t>
            </w:r>
          </w:p>
        </w:tc>
        <w:tc>
          <w:tcPr>
            <w:tcW w:w="737" w:type="pct"/>
            <w:shd w:val="clear" w:color="auto" w:fill="auto"/>
          </w:tcPr>
          <w:p w14:paraId="5EFF3EDB" w14:textId="77777777" w:rsidR="00B64FBC" w:rsidRPr="001731CE" w:rsidRDefault="00164096" w:rsidP="00AA4E74">
            <w:pPr>
              <w:shd w:val="clear" w:color="auto" w:fill="FFFFFF"/>
            </w:pPr>
            <w:r>
              <w:rPr>
                <w:color w:val="000000"/>
                <w:sz w:val="20"/>
                <w:szCs w:val="20"/>
              </w:rPr>
              <w:fldChar w:fldCharType="begin">
                <w:ffData>
                  <w:name w:val="D_fa_01"/>
                  <w:enabled/>
                  <w:calcOnExit w:val="0"/>
                  <w:ddList>
                    <w:listEntry w:val="Climate Change"/>
                    <w:listEntry w:val="(select)"/>
                    <w:listEntry w:val="Biodiversity"/>
                    <w:listEntry w:val="Land Degradation"/>
                    <w:listEntry w:val="International Waters"/>
                    <w:listEntry w:val="Chemicals and Wastes"/>
                  </w:ddList>
                </w:ffData>
              </w:fldChar>
            </w:r>
            <w:bookmarkStart w:id="16" w:name="D_fa_01"/>
            <w:r>
              <w:rPr>
                <w:color w:val="000000"/>
                <w:sz w:val="20"/>
                <w:szCs w:val="20"/>
              </w:rPr>
              <w:instrText xml:space="preserve"> FORMDROPDOWN </w:instrText>
            </w:r>
            <w:r w:rsidR="00A755A1">
              <w:rPr>
                <w:color w:val="000000"/>
                <w:sz w:val="20"/>
                <w:szCs w:val="20"/>
              </w:rPr>
            </w:r>
            <w:r w:rsidR="00A755A1">
              <w:rPr>
                <w:color w:val="000000"/>
                <w:sz w:val="20"/>
                <w:szCs w:val="20"/>
              </w:rPr>
              <w:fldChar w:fldCharType="separate"/>
            </w:r>
            <w:r>
              <w:rPr>
                <w:color w:val="000000"/>
                <w:sz w:val="20"/>
                <w:szCs w:val="20"/>
              </w:rPr>
              <w:fldChar w:fldCharType="end"/>
            </w:r>
            <w:bookmarkEnd w:id="16"/>
            <w:r w:rsidR="00B64FBC" w:rsidRPr="001731CE">
              <w:rPr>
                <w:color w:val="000000"/>
                <w:sz w:val="20"/>
                <w:szCs w:val="20"/>
              </w:rPr>
              <w:t xml:space="preserve">  </w:t>
            </w:r>
          </w:p>
        </w:tc>
        <w:tc>
          <w:tcPr>
            <w:tcW w:w="924" w:type="pct"/>
            <w:shd w:val="clear" w:color="auto" w:fill="auto"/>
          </w:tcPr>
          <w:p w14:paraId="011B4C27" w14:textId="77777777" w:rsidR="00B64FBC" w:rsidRPr="001731CE" w:rsidRDefault="008B0AE8" w:rsidP="00AA4E74">
            <w:pPr>
              <w:shd w:val="clear" w:color="auto" w:fill="FFFFFF"/>
              <w:rPr>
                <w:color w:val="000000"/>
                <w:sz w:val="20"/>
                <w:szCs w:val="20"/>
              </w:rPr>
            </w:pPr>
            <w:r w:rsidRPr="001731CE">
              <w:rPr>
                <w:color w:val="000000"/>
                <w:sz w:val="20"/>
                <w:szCs w:val="20"/>
              </w:rPr>
              <w:fldChar w:fldCharType="begin">
                <w:ffData>
                  <w:name w:val="D_SubTheme_01"/>
                  <w:enabled/>
                  <w:calcOnExit w:val="0"/>
                  <w:ddList>
                    <w:listEntry w:val="(select as applicable)"/>
                    <w:listEntry w:val="POPS"/>
                    <w:listEntry w:val="Mercury"/>
                    <w:listEntry w:val="ODS"/>
                    <w:listEntry w:val="SAICM"/>
                    <w:listEntry w:val="SGP"/>
                    <w:listEntry w:val="Non-Grant"/>
                    <w:listEntry w:val="FOLU IP"/>
                    <w:listEntry w:val="SC IP"/>
                    <w:listEntry w:val="SFM IP"/>
                  </w:ddList>
                </w:ffData>
              </w:fldChar>
            </w:r>
            <w:bookmarkStart w:id="17" w:name="D_SubTheme_01"/>
            <w:r w:rsidRPr="001731CE">
              <w:rPr>
                <w:color w:val="000000"/>
                <w:sz w:val="20"/>
                <w:szCs w:val="20"/>
              </w:rPr>
              <w:instrText xml:space="preserve"> FORMDROPDOWN </w:instrText>
            </w:r>
            <w:r w:rsidR="00A755A1">
              <w:rPr>
                <w:color w:val="000000"/>
                <w:sz w:val="20"/>
                <w:szCs w:val="20"/>
              </w:rPr>
            </w:r>
            <w:r w:rsidR="00A755A1">
              <w:rPr>
                <w:color w:val="000000"/>
                <w:sz w:val="20"/>
                <w:szCs w:val="20"/>
              </w:rPr>
              <w:fldChar w:fldCharType="separate"/>
            </w:r>
            <w:r w:rsidRPr="001731CE">
              <w:rPr>
                <w:color w:val="000000"/>
                <w:sz w:val="20"/>
                <w:szCs w:val="20"/>
              </w:rPr>
              <w:fldChar w:fldCharType="end"/>
            </w:r>
            <w:bookmarkEnd w:id="17"/>
          </w:p>
        </w:tc>
        <w:tc>
          <w:tcPr>
            <w:tcW w:w="565" w:type="pct"/>
            <w:shd w:val="clear" w:color="auto" w:fill="auto"/>
          </w:tcPr>
          <w:p w14:paraId="0F45198F" w14:textId="77777777" w:rsidR="00B64FBC" w:rsidRPr="001731CE" w:rsidRDefault="00B12961" w:rsidP="00AA4E74">
            <w:pPr>
              <w:shd w:val="clear" w:color="auto" w:fill="FFFFFF"/>
              <w:jc w:val="right"/>
              <w:rPr>
                <w:color w:val="000000"/>
                <w:sz w:val="20"/>
                <w:szCs w:val="20"/>
              </w:rPr>
            </w:pPr>
            <w:r>
              <w:rPr>
                <w:color w:val="000000"/>
                <w:sz w:val="20"/>
                <w:szCs w:val="20"/>
              </w:rPr>
              <w:t>1,269,850</w:t>
            </w:r>
          </w:p>
        </w:tc>
        <w:tc>
          <w:tcPr>
            <w:tcW w:w="566" w:type="pct"/>
            <w:shd w:val="clear" w:color="auto" w:fill="auto"/>
          </w:tcPr>
          <w:p w14:paraId="68F24EED" w14:textId="77777777" w:rsidR="00B64FBC" w:rsidRPr="001731CE" w:rsidRDefault="00B12961" w:rsidP="00AA4E74">
            <w:pPr>
              <w:shd w:val="clear" w:color="auto" w:fill="FFFFFF"/>
              <w:jc w:val="right"/>
              <w:rPr>
                <w:color w:val="000000"/>
                <w:sz w:val="20"/>
                <w:szCs w:val="20"/>
              </w:rPr>
            </w:pPr>
            <w:r>
              <w:rPr>
                <w:color w:val="000000"/>
                <w:sz w:val="20"/>
                <w:szCs w:val="20"/>
              </w:rPr>
              <w:t>120,636</w:t>
            </w:r>
          </w:p>
        </w:tc>
        <w:tc>
          <w:tcPr>
            <w:tcW w:w="647" w:type="pct"/>
            <w:shd w:val="clear" w:color="auto" w:fill="auto"/>
          </w:tcPr>
          <w:p w14:paraId="32CAC67C" w14:textId="77777777" w:rsidR="00B64FBC" w:rsidRPr="001731CE" w:rsidRDefault="00B12961" w:rsidP="00AA4E74">
            <w:pPr>
              <w:shd w:val="clear" w:color="auto" w:fill="FFFFFF"/>
              <w:jc w:val="right"/>
              <w:rPr>
                <w:color w:val="000000"/>
                <w:sz w:val="20"/>
                <w:szCs w:val="20"/>
              </w:rPr>
            </w:pPr>
            <w:r>
              <w:rPr>
                <w:color w:val="000000"/>
                <w:sz w:val="20"/>
                <w:szCs w:val="20"/>
              </w:rPr>
              <w:t>1,390,486</w:t>
            </w:r>
          </w:p>
        </w:tc>
      </w:tr>
      <w:tr w:rsidR="003D3F4D" w:rsidRPr="001731CE" w14:paraId="0ED15626" w14:textId="77777777" w:rsidTr="00DE15B6">
        <w:trPr>
          <w:trHeight w:val="253"/>
        </w:trPr>
        <w:tc>
          <w:tcPr>
            <w:tcW w:w="3222" w:type="pct"/>
            <w:gridSpan w:val="5"/>
            <w:shd w:val="clear" w:color="auto" w:fill="auto"/>
          </w:tcPr>
          <w:p w14:paraId="6AF8D42F" w14:textId="77777777" w:rsidR="003D3F4D" w:rsidRPr="001731CE" w:rsidRDefault="003D3F4D" w:rsidP="00AA4E74">
            <w:pPr>
              <w:shd w:val="clear" w:color="auto" w:fill="FFFFFF"/>
              <w:rPr>
                <w:b/>
                <w:color w:val="000000"/>
                <w:sz w:val="20"/>
                <w:szCs w:val="20"/>
              </w:rPr>
            </w:pPr>
            <w:r w:rsidRPr="001731CE">
              <w:rPr>
                <w:b/>
                <w:color w:val="000000"/>
                <w:sz w:val="20"/>
                <w:szCs w:val="20"/>
              </w:rPr>
              <w:t>Total GEF Resources</w:t>
            </w:r>
          </w:p>
        </w:tc>
        <w:tc>
          <w:tcPr>
            <w:tcW w:w="565" w:type="pct"/>
            <w:shd w:val="clear" w:color="auto" w:fill="auto"/>
          </w:tcPr>
          <w:p w14:paraId="66F0FE6A" w14:textId="77777777" w:rsidR="003D3F4D" w:rsidRPr="001731CE" w:rsidRDefault="003D3F4D" w:rsidP="00AA4E74">
            <w:pPr>
              <w:shd w:val="clear" w:color="auto" w:fill="FFFFFF"/>
              <w:jc w:val="right"/>
              <w:rPr>
                <w:color w:val="000000"/>
                <w:sz w:val="20"/>
                <w:szCs w:val="20"/>
              </w:rPr>
            </w:pPr>
          </w:p>
        </w:tc>
        <w:tc>
          <w:tcPr>
            <w:tcW w:w="566" w:type="pct"/>
            <w:shd w:val="clear" w:color="auto" w:fill="auto"/>
          </w:tcPr>
          <w:p w14:paraId="465D25B7" w14:textId="77777777" w:rsidR="003D3F4D" w:rsidRPr="001731CE" w:rsidRDefault="003D3F4D" w:rsidP="00AA4E74">
            <w:pPr>
              <w:shd w:val="clear" w:color="auto" w:fill="FFFFFF"/>
              <w:jc w:val="right"/>
              <w:rPr>
                <w:color w:val="000000"/>
                <w:sz w:val="20"/>
                <w:szCs w:val="20"/>
              </w:rPr>
            </w:pPr>
          </w:p>
        </w:tc>
        <w:tc>
          <w:tcPr>
            <w:tcW w:w="647" w:type="pct"/>
            <w:shd w:val="clear" w:color="auto" w:fill="auto"/>
          </w:tcPr>
          <w:p w14:paraId="7E7CA4F5" w14:textId="77777777" w:rsidR="003D3F4D" w:rsidRPr="001731CE" w:rsidRDefault="003D3F4D" w:rsidP="00AA4E74">
            <w:pPr>
              <w:shd w:val="clear" w:color="auto" w:fill="FFFFFF"/>
              <w:jc w:val="right"/>
              <w:rPr>
                <w:color w:val="000000"/>
                <w:sz w:val="20"/>
                <w:szCs w:val="20"/>
              </w:rPr>
            </w:pPr>
          </w:p>
        </w:tc>
      </w:tr>
    </w:tbl>
    <w:p w14:paraId="0FE2AF1F" w14:textId="77777777" w:rsidR="00930EA6" w:rsidRPr="001731CE" w:rsidRDefault="00930EA6" w:rsidP="00AA4E74">
      <w:pPr>
        <w:pStyle w:val="Footer"/>
        <w:shd w:val="clear" w:color="auto" w:fill="FFFFFF"/>
        <w:tabs>
          <w:tab w:val="clear" w:pos="4320"/>
          <w:tab w:val="clear" w:pos="8640"/>
        </w:tabs>
        <w:ind w:left="-360"/>
        <w:rPr>
          <w:bCs/>
          <w:color w:val="000000"/>
          <w:sz w:val="18"/>
          <w:szCs w:val="18"/>
          <w:lang w:val="en-US"/>
        </w:rPr>
      </w:pPr>
    </w:p>
    <w:p w14:paraId="0664FE66" w14:textId="77777777" w:rsidR="00D245A7" w:rsidRPr="001731CE" w:rsidRDefault="00D245A7" w:rsidP="00AA4E74">
      <w:pPr>
        <w:pStyle w:val="Footer"/>
        <w:shd w:val="clear" w:color="auto" w:fill="FFFFFF"/>
        <w:tabs>
          <w:tab w:val="clear" w:pos="4320"/>
          <w:tab w:val="clear" w:pos="8640"/>
        </w:tabs>
        <w:rPr>
          <w:bCs/>
          <w:color w:val="000000"/>
          <w:sz w:val="18"/>
          <w:szCs w:val="18"/>
          <w:lang w:val="en-US"/>
        </w:rPr>
      </w:pPr>
    </w:p>
    <w:p w14:paraId="6B804321" w14:textId="77777777" w:rsidR="00181537" w:rsidRPr="001731CE" w:rsidRDefault="0076121E" w:rsidP="00AA4E74">
      <w:pPr>
        <w:pStyle w:val="GEFTableHeading"/>
        <w:shd w:val="clear" w:color="auto" w:fill="FFFFFF"/>
        <w:rPr>
          <w:rFonts w:ascii="Times New Roman" w:hAnsi="Times New Roman"/>
        </w:rPr>
      </w:pPr>
      <w:bookmarkStart w:id="18" w:name="_Hlk511816142"/>
      <w:r w:rsidRPr="001731CE">
        <w:rPr>
          <w:rFonts w:ascii="Times New Roman" w:hAnsi="Times New Roman"/>
        </w:rPr>
        <w:t xml:space="preserve">E. </w:t>
      </w:r>
      <w:r w:rsidR="00181537" w:rsidRPr="001731CE">
        <w:rPr>
          <w:rFonts w:ascii="Times New Roman" w:hAnsi="Times New Roman"/>
        </w:rPr>
        <w:t xml:space="preserve"> Project preparation grant (</w:t>
      </w:r>
      <w:proofErr w:type="spellStart"/>
      <w:r w:rsidR="00181537" w:rsidRPr="001731CE">
        <w:rPr>
          <w:rFonts w:ascii="Times New Roman" w:hAnsi="Times New Roman"/>
        </w:rPr>
        <w:t>ppg</w:t>
      </w:r>
      <w:proofErr w:type="spellEnd"/>
      <w:r w:rsidR="00181537" w:rsidRPr="001731CE">
        <w:rPr>
          <w:rFonts w:ascii="Times New Roman" w:hAnsi="Times New Roman"/>
        </w:rPr>
        <w:t>)</w:t>
      </w:r>
      <w:r w:rsidR="00E81713" w:rsidRPr="001731CE" w:rsidDel="00E81713">
        <w:rPr>
          <w:rStyle w:val="FootnoteReference"/>
          <w:rFonts w:ascii="Times New Roman" w:hAnsi="Times New Roman"/>
          <w:b w:val="0"/>
          <w:smallCaps w:val="0"/>
        </w:rPr>
        <w:t xml:space="preserve"> </w:t>
      </w:r>
    </w:p>
    <w:p w14:paraId="329C2C0B" w14:textId="77777777" w:rsidR="00486C68" w:rsidRPr="001731CE" w:rsidRDefault="00D54E10" w:rsidP="00AA4E74">
      <w:pPr>
        <w:pStyle w:val="GEFTableHeading"/>
        <w:shd w:val="clear" w:color="auto" w:fill="FFFFFF"/>
        <w:rPr>
          <w:rFonts w:ascii="Times New Roman" w:hAnsi="Times New Roman"/>
          <w:b w:val="0"/>
          <w:smallCaps w:val="0"/>
          <w:sz w:val="20"/>
          <w:szCs w:val="20"/>
        </w:rPr>
      </w:pPr>
      <w:r w:rsidRPr="001731CE">
        <w:rPr>
          <w:rFonts w:ascii="Times New Roman" w:hAnsi="Times New Roman"/>
          <w:b w:val="0"/>
          <w:smallCaps w:val="0"/>
        </w:rPr>
        <w:t xml:space="preserve">     </w:t>
      </w:r>
      <w:r w:rsidR="00A61885" w:rsidRPr="001731CE">
        <w:rPr>
          <w:rFonts w:ascii="Times New Roman" w:hAnsi="Times New Roman"/>
          <w:b w:val="0"/>
          <w:smallCaps w:val="0"/>
        </w:rPr>
        <w:t>Is Project Preparation Grant requested? Yes</w:t>
      </w:r>
      <w:r w:rsidR="00A61885" w:rsidRPr="001731CE">
        <w:rPr>
          <w:rFonts w:ascii="Times New Roman" w:hAnsi="Times New Roman"/>
          <w:b w:val="0"/>
          <w:smallCaps w:val="0"/>
          <w:sz w:val="20"/>
          <w:szCs w:val="20"/>
        </w:rPr>
        <w:t xml:space="preserve"> </w:t>
      </w:r>
      <w:r w:rsidR="00B12961">
        <w:rPr>
          <w:rFonts w:ascii="Times New Roman" w:hAnsi="Times New Roman"/>
          <w:b w:val="0"/>
          <w:smallCaps w:val="0"/>
          <w:sz w:val="20"/>
          <w:szCs w:val="20"/>
        </w:rPr>
        <w:fldChar w:fldCharType="begin">
          <w:ffData>
            <w:name w:val="PPG_requested_yes"/>
            <w:enabled/>
            <w:calcOnExit w:val="0"/>
            <w:checkBox>
              <w:sizeAuto/>
              <w:default w:val="1"/>
            </w:checkBox>
          </w:ffData>
        </w:fldChar>
      </w:r>
      <w:bookmarkStart w:id="19" w:name="PPG_requested_yes"/>
      <w:r w:rsidR="00B12961">
        <w:rPr>
          <w:rFonts w:ascii="Times New Roman" w:hAnsi="Times New Roman"/>
          <w:b w:val="0"/>
          <w:smallCaps w:val="0"/>
          <w:sz w:val="20"/>
          <w:szCs w:val="20"/>
        </w:rPr>
        <w:instrText xml:space="preserve"> FORMCHECKBOX </w:instrText>
      </w:r>
      <w:r w:rsidR="00A755A1">
        <w:rPr>
          <w:rFonts w:ascii="Times New Roman" w:hAnsi="Times New Roman"/>
          <w:b w:val="0"/>
          <w:smallCaps w:val="0"/>
          <w:sz w:val="20"/>
          <w:szCs w:val="20"/>
        </w:rPr>
      </w:r>
      <w:r w:rsidR="00A755A1">
        <w:rPr>
          <w:rFonts w:ascii="Times New Roman" w:hAnsi="Times New Roman"/>
          <w:b w:val="0"/>
          <w:smallCaps w:val="0"/>
          <w:sz w:val="20"/>
          <w:szCs w:val="20"/>
        </w:rPr>
        <w:fldChar w:fldCharType="separate"/>
      </w:r>
      <w:r w:rsidR="00B12961">
        <w:rPr>
          <w:rFonts w:ascii="Times New Roman" w:hAnsi="Times New Roman"/>
          <w:b w:val="0"/>
          <w:smallCaps w:val="0"/>
          <w:sz w:val="20"/>
          <w:szCs w:val="20"/>
        </w:rPr>
        <w:fldChar w:fldCharType="end"/>
      </w:r>
      <w:bookmarkEnd w:id="19"/>
      <w:r w:rsidR="00A61885" w:rsidRPr="001731CE">
        <w:rPr>
          <w:rFonts w:ascii="Times New Roman" w:hAnsi="Times New Roman"/>
          <w:b w:val="0"/>
          <w:smallCaps w:val="0"/>
          <w:sz w:val="20"/>
          <w:szCs w:val="20"/>
        </w:rPr>
        <w:t xml:space="preserve">   No </w:t>
      </w:r>
      <w:r w:rsidR="00774E40" w:rsidRPr="001731CE">
        <w:rPr>
          <w:rFonts w:ascii="Times New Roman" w:hAnsi="Times New Roman"/>
          <w:b w:val="0"/>
          <w:smallCaps w:val="0"/>
          <w:sz w:val="20"/>
          <w:szCs w:val="20"/>
        </w:rPr>
        <w:fldChar w:fldCharType="begin">
          <w:ffData>
            <w:name w:val="PPG_requested_no"/>
            <w:enabled/>
            <w:calcOnExit w:val="0"/>
            <w:checkBox>
              <w:sizeAuto/>
              <w:default w:val="0"/>
            </w:checkBox>
          </w:ffData>
        </w:fldChar>
      </w:r>
      <w:bookmarkStart w:id="20" w:name="PPG_requested_no"/>
      <w:r w:rsidR="00774E40" w:rsidRPr="001731CE">
        <w:rPr>
          <w:rFonts w:ascii="Times New Roman" w:hAnsi="Times New Roman"/>
          <w:b w:val="0"/>
          <w:smallCaps w:val="0"/>
          <w:sz w:val="20"/>
          <w:szCs w:val="20"/>
        </w:rPr>
        <w:instrText xml:space="preserve"> FORMCHECKBOX </w:instrText>
      </w:r>
      <w:r w:rsidR="00A755A1">
        <w:rPr>
          <w:rFonts w:ascii="Times New Roman" w:hAnsi="Times New Roman"/>
          <w:b w:val="0"/>
          <w:smallCaps w:val="0"/>
          <w:sz w:val="20"/>
          <w:szCs w:val="20"/>
        </w:rPr>
      </w:r>
      <w:r w:rsidR="00A755A1">
        <w:rPr>
          <w:rFonts w:ascii="Times New Roman" w:hAnsi="Times New Roman"/>
          <w:b w:val="0"/>
          <w:smallCaps w:val="0"/>
          <w:sz w:val="20"/>
          <w:szCs w:val="20"/>
        </w:rPr>
        <w:fldChar w:fldCharType="separate"/>
      </w:r>
      <w:r w:rsidR="00774E40" w:rsidRPr="001731CE">
        <w:rPr>
          <w:rFonts w:ascii="Times New Roman" w:hAnsi="Times New Roman"/>
          <w:b w:val="0"/>
          <w:smallCaps w:val="0"/>
          <w:sz w:val="20"/>
          <w:szCs w:val="20"/>
        </w:rPr>
        <w:fldChar w:fldCharType="end"/>
      </w:r>
      <w:bookmarkEnd w:id="20"/>
      <w:r w:rsidR="00A61885" w:rsidRPr="001731CE">
        <w:rPr>
          <w:rFonts w:ascii="Times New Roman" w:hAnsi="Times New Roman"/>
          <w:b w:val="0"/>
          <w:smallCaps w:val="0"/>
          <w:sz w:val="20"/>
          <w:szCs w:val="20"/>
        </w:rPr>
        <w:t xml:space="preserve"> If no, </w:t>
      </w:r>
      <w:r w:rsidR="001C7FEA" w:rsidRPr="001731CE">
        <w:rPr>
          <w:rFonts w:ascii="Times New Roman" w:hAnsi="Times New Roman"/>
          <w:b w:val="0"/>
          <w:smallCaps w:val="0"/>
          <w:sz w:val="20"/>
          <w:szCs w:val="20"/>
        </w:rPr>
        <w:t>skip item E.</w:t>
      </w:r>
    </w:p>
    <w:bookmarkEnd w:id="18"/>
    <w:p w14:paraId="2C5280EF" w14:textId="77777777" w:rsidR="00A15EFA" w:rsidRPr="001731CE" w:rsidRDefault="00A15EFA" w:rsidP="00AA4E74">
      <w:pPr>
        <w:pStyle w:val="Footer"/>
        <w:shd w:val="clear" w:color="auto" w:fill="FFFFFF"/>
        <w:tabs>
          <w:tab w:val="clear" w:pos="4320"/>
          <w:tab w:val="clear" w:pos="8640"/>
        </w:tabs>
        <w:spacing w:after="80"/>
        <w:ind w:left="-720"/>
        <w:rPr>
          <w:b/>
          <w:smallCaps/>
          <w:color w:val="000000"/>
          <w:sz w:val="22"/>
          <w:szCs w:val="22"/>
        </w:rPr>
      </w:pPr>
    </w:p>
    <w:p w14:paraId="7429099E" w14:textId="77777777" w:rsidR="006F3B05" w:rsidRPr="001731CE" w:rsidRDefault="006F3B05" w:rsidP="00AA4E74">
      <w:pPr>
        <w:pStyle w:val="Footer"/>
        <w:shd w:val="clear" w:color="auto" w:fill="FFFFFF"/>
        <w:tabs>
          <w:tab w:val="clear" w:pos="4320"/>
          <w:tab w:val="clear" w:pos="8640"/>
        </w:tabs>
        <w:spacing w:after="80"/>
        <w:ind w:left="-720"/>
        <w:rPr>
          <w:b/>
          <w:color w:val="000000"/>
          <w:sz w:val="22"/>
          <w:szCs w:val="22"/>
          <w:lang w:val="en-US"/>
        </w:rPr>
      </w:pPr>
      <w:bookmarkStart w:id="21" w:name="PPG"/>
      <w:r w:rsidRPr="001731CE">
        <w:rPr>
          <w:rFonts w:ascii="Times New Roman Bold" w:hAnsi="Times New Roman Bold"/>
          <w:b/>
          <w:smallCaps/>
          <w:color w:val="000000"/>
          <w:sz w:val="22"/>
          <w:szCs w:val="22"/>
        </w:rPr>
        <w:t>PPG  Amount requested</w:t>
      </w:r>
      <w:bookmarkEnd w:id="21"/>
      <w:r w:rsidRPr="001731CE">
        <w:rPr>
          <w:b/>
          <w:smallCaps/>
          <w:color w:val="000000"/>
          <w:sz w:val="22"/>
          <w:szCs w:val="22"/>
        </w:rPr>
        <w:t xml:space="preserve"> by agency</w:t>
      </w:r>
      <w:r w:rsidR="00C36288" w:rsidRPr="001731CE">
        <w:rPr>
          <w:b/>
          <w:smallCaps/>
          <w:color w:val="000000"/>
          <w:sz w:val="22"/>
          <w:szCs w:val="22"/>
          <w:lang w:val="en-US"/>
        </w:rPr>
        <w:t>(</w:t>
      </w:r>
      <w:proofErr w:type="spellStart"/>
      <w:r w:rsidR="00C36288" w:rsidRPr="001731CE">
        <w:rPr>
          <w:b/>
          <w:smallCaps/>
          <w:color w:val="000000"/>
          <w:sz w:val="22"/>
          <w:szCs w:val="22"/>
          <w:lang w:val="en-US"/>
        </w:rPr>
        <w:t>ies</w:t>
      </w:r>
      <w:proofErr w:type="spellEnd"/>
      <w:r w:rsidR="00C36288" w:rsidRPr="001731CE">
        <w:rPr>
          <w:b/>
          <w:smallCaps/>
          <w:color w:val="000000"/>
          <w:sz w:val="22"/>
          <w:szCs w:val="22"/>
          <w:lang w:val="en-US"/>
        </w:rPr>
        <w:t>)</w:t>
      </w:r>
      <w:r w:rsidRPr="001731CE">
        <w:rPr>
          <w:b/>
          <w:smallCaps/>
          <w:color w:val="000000"/>
          <w:sz w:val="22"/>
          <w:szCs w:val="22"/>
        </w:rPr>
        <w:t xml:space="preserve">, </w:t>
      </w:r>
      <w:r w:rsidR="00F43951" w:rsidRPr="001731CE">
        <w:rPr>
          <w:b/>
          <w:smallCaps/>
          <w:color w:val="000000"/>
          <w:sz w:val="22"/>
          <w:szCs w:val="22"/>
          <w:lang w:val="en-US"/>
        </w:rPr>
        <w:t xml:space="preserve">Trust Fund, </w:t>
      </w:r>
      <w:r w:rsidRPr="001731CE">
        <w:rPr>
          <w:b/>
          <w:smallCaps/>
          <w:color w:val="000000"/>
          <w:sz w:val="22"/>
          <w:szCs w:val="22"/>
        </w:rPr>
        <w:t xml:space="preserve"> country</w:t>
      </w:r>
      <w:r w:rsidR="00C36288" w:rsidRPr="001731CE">
        <w:rPr>
          <w:b/>
          <w:smallCaps/>
          <w:color w:val="000000"/>
          <w:sz w:val="22"/>
          <w:szCs w:val="22"/>
          <w:lang w:val="en-US"/>
        </w:rPr>
        <w:t>(</w:t>
      </w:r>
      <w:proofErr w:type="spellStart"/>
      <w:r w:rsidR="00C36288" w:rsidRPr="001731CE">
        <w:rPr>
          <w:b/>
          <w:smallCaps/>
          <w:color w:val="000000"/>
          <w:sz w:val="22"/>
          <w:szCs w:val="22"/>
          <w:lang w:val="en-US"/>
        </w:rPr>
        <w:t>ies</w:t>
      </w:r>
      <w:proofErr w:type="spellEnd"/>
      <w:r w:rsidR="00C36288" w:rsidRPr="001731CE">
        <w:rPr>
          <w:b/>
          <w:smallCaps/>
          <w:color w:val="000000"/>
          <w:sz w:val="22"/>
          <w:szCs w:val="22"/>
          <w:lang w:val="en-US"/>
        </w:rPr>
        <w:t>)</w:t>
      </w:r>
      <w:r w:rsidR="00F43951" w:rsidRPr="001731CE">
        <w:rPr>
          <w:b/>
          <w:smallCaps/>
          <w:color w:val="000000"/>
          <w:sz w:val="22"/>
          <w:szCs w:val="22"/>
          <w:lang w:val="en-US"/>
        </w:rPr>
        <w:t xml:space="preserve"> and </w:t>
      </w:r>
      <w:r w:rsidR="00C36288" w:rsidRPr="001731CE">
        <w:rPr>
          <w:b/>
          <w:smallCaps/>
          <w:color w:val="000000"/>
          <w:sz w:val="22"/>
          <w:szCs w:val="22"/>
          <w:lang w:val="en-US"/>
        </w:rPr>
        <w:t xml:space="preserve">the Programming </w:t>
      </w:r>
      <w:r w:rsidR="00F43951" w:rsidRPr="001731CE">
        <w:rPr>
          <w:b/>
          <w:smallCaps/>
          <w:color w:val="000000"/>
          <w:sz w:val="22"/>
          <w:szCs w:val="22"/>
          <w:lang w:val="en-US"/>
        </w:rPr>
        <w:t xml:space="preserve"> of funds</w:t>
      </w:r>
    </w:p>
    <w:tbl>
      <w:tblPr>
        <w:tblW w:w="102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80"/>
        <w:gridCol w:w="1621"/>
        <w:gridCol w:w="1842"/>
        <w:gridCol w:w="1560"/>
        <w:gridCol w:w="1275"/>
        <w:gridCol w:w="1134"/>
        <w:gridCol w:w="1134"/>
      </w:tblGrid>
      <w:tr w:rsidR="007035F6" w:rsidRPr="001731CE" w14:paraId="0BC788F4" w14:textId="77777777" w:rsidTr="00DE15B6">
        <w:trPr>
          <w:trHeight w:val="224"/>
        </w:trPr>
        <w:tc>
          <w:tcPr>
            <w:tcW w:w="900" w:type="dxa"/>
            <w:vMerge w:val="restart"/>
            <w:vAlign w:val="center"/>
          </w:tcPr>
          <w:p w14:paraId="6562E676" w14:textId="77777777" w:rsidR="007035F6" w:rsidRPr="001731CE" w:rsidRDefault="007035F6" w:rsidP="00AA4E74">
            <w:pPr>
              <w:shd w:val="clear" w:color="auto" w:fill="FFFFFF"/>
              <w:spacing w:after="80"/>
              <w:jc w:val="center"/>
              <w:rPr>
                <w:b/>
                <w:color w:val="000000"/>
                <w:sz w:val="20"/>
                <w:szCs w:val="20"/>
              </w:rPr>
            </w:pPr>
            <w:r w:rsidRPr="001731CE">
              <w:rPr>
                <w:b/>
                <w:color w:val="000000"/>
                <w:sz w:val="20"/>
                <w:szCs w:val="20"/>
              </w:rPr>
              <w:t>GEF Agency</w:t>
            </w:r>
          </w:p>
        </w:tc>
        <w:tc>
          <w:tcPr>
            <w:tcW w:w="780" w:type="dxa"/>
            <w:vMerge w:val="restart"/>
            <w:shd w:val="clear" w:color="auto" w:fill="auto"/>
            <w:vAlign w:val="center"/>
          </w:tcPr>
          <w:p w14:paraId="1E3024A5" w14:textId="77777777" w:rsidR="007035F6" w:rsidRPr="001731CE" w:rsidRDefault="007035F6" w:rsidP="00AA4E74">
            <w:pPr>
              <w:shd w:val="clear" w:color="auto" w:fill="FFFFFF"/>
              <w:spacing w:after="80"/>
              <w:jc w:val="center"/>
              <w:rPr>
                <w:b/>
                <w:color w:val="000000"/>
                <w:sz w:val="20"/>
                <w:szCs w:val="20"/>
              </w:rPr>
            </w:pPr>
            <w:r w:rsidRPr="001731CE">
              <w:rPr>
                <w:b/>
                <w:color w:val="000000"/>
                <w:sz w:val="20"/>
                <w:szCs w:val="20"/>
              </w:rPr>
              <w:t>Trust Fund</w:t>
            </w:r>
          </w:p>
        </w:tc>
        <w:tc>
          <w:tcPr>
            <w:tcW w:w="1621" w:type="dxa"/>
            <w:vMerge w:val="restart"/>
            <w:shd w:val="clear" w:color="auto" w:fill="auto"/>
            <w:vAlign w:val="center"/>
          </w:tcPr>
          <w:p w14:paraId="37FA975F" w14:textId="77777777" w:rsidR="007035F6" w:rsidRPr="001731CE" w:rsidRDefault="007035F6" w:rsidP="00AA4E74">
            <w:pPr>
              <w:shd w:val="clear" w:color="auto" w:fill="FFFFFF"/>
              <w:spacing w:after="80"/>
              <w:ind w:right="-108"/>
              <w:jc w:val="center"/>
              <w:rPr>
                <w:b/>
                <w:color w:val="000000"/>
                <w:sz w:val="20"/>
                <w:szCs w:val="20"/>
              </w:rPr>
            </w:pPr>
            <w:r w:rsidRPr="001731CE">
              <w:rPr>
                <w:b/>
                <w:color w:val="000000"/>
                <w:sz w:val="20"/>
                <w:szCs w:val="20"/>
              </w:rPr>
              <w:t xml:space="preserve">Country/ </w:t>
            </w:r>
          </w:p>
          <w:p w14:paraId="238DF1A7" w14:textId="77777777" w:rsidR="007035F6" w:rsidRPr="001731CE" w:rsidRDefault="007035F6" w:rsidP="00AA4E74">
            <w:pPr>
              <w:shd w:val="clear" w:color="auto" w:fill="FFFFFF"/>
              <w:spacing w:after="80"/>
              <w:ind w:right="-108"/>
              <w:jc w:val="center"/>
              <w:rPr>
                <w:color w:val="000000"/>
                <w:sz w:val="20"/>
                <w:szCs w:val="20"/>
              </w:rPr>
            </w:pPr>
            <w:r w:rsidRPr="001731CE">
              <w:rPr>
                <w:b/>
                <w:color w:val="000000"/>
                <w:sz w:val="20"/>
                <w:szCs w:val="20"/>
              </w:rPr>
              <w:t>Regional/Global</w:t>
            </w:r>
            <w:r w:rsidRPr="001731CE">
              <w:rPr>
                <w:color w:val="000000"/>
                <w:sz w:val="20"/>
                <w:szCs w:val="20"/>
              </w:rPr>
              <w:t xml:space="preserve"> </w:t>
            </w:r>
          </w:p>
        </w:tc>
        <w:tc>
          <w:tcPr>
            <w:tcW w:w="1842" w:type="dxa"/>
            <w:vMerge w:val="restart"/>
            <w:shd w:val="clear" w:color="auto" w:fill="auto"/>
            <w:vAlign w:val="center"/>
          </w:tcPr>
          <w:p w14:paraId="177C5ADA" w14:textId="77777777" w:rsidR="007035F6" w:rsidRPr="001731CE" w:rsidRDefault="007035F6" w:rsidP="00AA4E74">
            <w:pPr>
              <w:shd w:val="clear" w:color="auto" w:fill="FFFFFF"/>
              <w:jc w:val="center"/>
              <w:rPr>
                <w:b/>
                <w:color w:val="000000"/>
                <w:sz w:val="22"/>
                <w:szCs w:val="22"/>
              </w:rPr>
            </w:pPr>
            <w:r w:rsidRPr="001731CE">
              <w:rPr>
                <w:b/>
                <w:color w:val="000000"/>
                <w:sz w:val="22"/>
                <w:szCs w:val="22"/>
              </w:rPr>
              <w:t>Focal Area</w:t>
            </w:r>
          </w:p>
        </w:tc>
        <w:tc>
          <w:tcPr>
            <w:tcW w:w="1560" w:type="dxa"/>
            <w:vMerge w:val="restart"/>
            <w:shd w:val="clear" w:color="auto" w:fill="auto"/>
            <w:vAlign w:val="center"/>
          </w:tcPr>
          <w:p w14:paraId="18B6261A" w14:textId="77777777" w:rsidR="007035F6" w:rsidRPr="001731CE" w:rsidRDefault="007035F6" w:rsidP="00AA4E74">
            <w:pPr>
              <w:shd w:val="clear" w:color="auto" w:fill="FFFFFF"/>
              <w:jc w:val="center"/>
              <w:rPr>
                <w:b/>
                <w:color w:val="000000"/>
                <w:sz w:val="22"/>
                <w:szCs w:val="22"/>
              </w:rPr>
            </w:pPr>
            <w:r w:rsidRPr="001731CE">
              <w:rPr>
                <w:b/>
                <w:color w:val="000000"/>
                <w:sz w:val="22"/>
                <w:szCs w:val="22"/>
              </w:rPr>
              <w:t>Programming</w:t>
            </w:r>
          </w:p>
          <w:p w14:paraId="1EE0832C" w14:textId="77777777" w:rsidR="007035F6" w:rsidRPr="001731CE" w:rsidRDefault="007035F6" w:rsidP="00AA4E74">
            <w:pPr>
              <w:shd w:val="clear" w:color="auto" w:fill="FFFFFF"/>
              <w:jc w:val="center"/>
              <w:rPr>
                <w:b/>
                <w:color w:val="000000"/>
                <w:sz w:val="22"/>
                <w:szCs w:val="22"/>
              </w:rPr>
            </w:pPr>
            <w:r w:rsidRPr="001731CE">
              <w:rPr>
                <w:b/>
                <w:color w:val="000000"/>
                <w:sz w:val="22"/>
                <w:szCs w:val="22"/>
              </w:rPr>
              <w:t xml:space="preserve"> of Funds</w:t>
            </w:r>
          </w:p>
        </w:tc>
        <w:tc>
          <w:tcPr>
            <w:tcW w:w="3543" w:type="dxa"/>
            <w:gridSpan w:val="3"/>
            <w:shd w:val="clear" w:color="auto" w:fill="auto"/>
            <w:vAlign w:val="center"/>
          </w:tcPr>
          <w:p w14:paraId="2614ECA7" w14:textId="77777777" w:rsidR="007035F6" w:rsidRPr="001731CE" w:rsidRDefault="007035F6" w:rsidP="00AA4E74">
            <w:pPr>
              <w:shd w:val="clear" w:color="auto" w:fill="FFFFFF"/>
              <w:spacing w:after="80"/>
              <w:jc w:val="center"/>
              <w:rPr>
                <w:b/>
                <w:color w:val="000000"/>
                <w:sz w:val="20"/>
                <w:szCs w:val="20"/>
              </w:rPr>
            </w:pPr>
            <w:r w:rsidRPr="001731CE">
              <w:rPr>
                <w:b/>
                <w:color w:val="000000"/>
                <w:sz w:val="20"/>
                <w:szCs w:val="20"/>
              </w:rPr>
              <w:t>(in $)</w:t>
            </w:r>
          </w:p>
        </w:tc>
      </w:tr>
      <w:tr w:rsidR="007035F6" w:rsidRPr="001731CE" w14:paraId="1138C737" w14:textId="77777777" w:rsidTr="00DE15B6">
        <w:trPr>
          <w:trHeight w:val="277"/>
        </w:trPr>
        <w:tc>
          <w:tcPr>
            <w:tcW w:w="900" w:type="dxa"/>
            <w:vMerge/>
          </w:tcPr>
          <w:p w14:paraId="00DDBAA8" w14:textId="77777777" w:rsidR="007035F6" w:rsidRPr="001731CE" w:rsidRDefault="007035F6" w:rsidP="00AA4E74">
            <w:pPr>
              <w:shd w:val="clear" w:color="auto" w:fill="FFFFFF"/>
              <w:jc w:val="right"/>
              <w:rPr>
                <w:b/>
                <w:smallCaps/>
                <w:color w:val="000000"/>
                <w:sz w:val="20"/>
                <w:szCs w:val="20"/>
              </w:rPr>
            </w:pPr>
          </w:p>
        </w:tc>
        <w:tc>
          <w:tcPr>
            <w:tcW w:w="780" w:type="dxa"/>
            <w:vMerge/>
            <w:shd w:val="clear" w:color="auto" w:fill="auto"/>
          </w:tcPr>
          <w:p w14:paraId="554E737B" w14:textId="77777777" w:rsidR="007035F6" w:rsidRPr="001731CE" w:rsidRDefault="007035F6" w:rsidP="00AA4E74">
            <w:pPr>
              <w:shd w:val="clear" w:color="auto" w:fill="FFFFFF"/>
              <w:jc w:val="right"/>
              <w:rPr>
                <w:b/>
                <w:smallCaps/>
                <w:color w:val="000000"/>
                <w:sz w:val="20"/>
                <w:szCs w:val="20"/>
              </w:rPr>
            </w:pPr>
          </w:p>
        </w:tc>
        <w:tc>
          <w:tcPr>
            <w:tcW w:w="1621" w:type="dxa"/>
            <w:vMerge/>
            <w:shd w:val="clear" w:color="auto" w:fill="auto"/>
          </w:tcPr>
          <w:p w14:paraId="3DB11538" w14:textId="77777777" w:rsidR="007035F6" w:rsidRPr="001731CE" w:rsidRDefault="007035F6" w:rsidP="00AA4E74">
            <w:pPr>
              <w:shd w:val="clear" w:color="auto" w:fill="FFFFFF"/>
              <w:jc w:val="right"/>
              <w:rPr>
                <w:b/>
                <w:smallCaps/>
                <w:color w:val="000000"/>
                <w:sz w:val="20"/>
                <w:szCs w:val="20"/>
              </w:rPr>
            </w:pPr>
          </w:p>
        </w:tc>
        <w:tc>
          <w:tcPr>
            <w:tcW w:w="1842" w:type="dxa"/>
            <w:vMerge/>
            <w:shd w:val="clear" w:color="auto" w:fill="auto"/>
          </w:tcPr>
          <w:p w14:paraId="4D87DAFC" w14:textId="77777777" w:rsidR="007035F6" w:rsidRPr="001731CE" w:rsidRDefault="007035F6" w:rsidP="00AA4E74">
            <w:pPr>
              <w:shd w:val="clear" w:color="auto" w:fill="FFFFFF"/>
              <w:jc w:val="right"/>
              <w:rPr>
                <w:b/>
                <w:color w:val="000000"/>
                <w:sz w:val="20"/>
                <w:szCs w:val="20"/>
              </w:rPr>
            </w:pPr>
          </w:p>
        </w:tc>
        <w:tc>
          <w:tcPr>
            <w:tcW w:w="1560" w:type="dxa"/>
            <w:vMerge/>
            <w:shd w:val="clear" w:color="auto" w:fill="auto"/>
          </w:tcPr>
          <w:p w14:paraId="6FE8E6FC" w14:textId="77777777" w:rsidR="007035F6" w:rsidRPr="001731CE" w:rsidRDefault="007035F6" w:rsidP="00AA4E74">
            <w:pPr>
              <w:shd w:val="clear" w:color="auto" w:fill="FFFFFF"/>
              <w:jc w:val="right"/>
              <w:rPr>
                <w:b/>
                <w:color w:val="000000"/>
                <w:sz w:val="20"/>
                <w:szCs w:val="20"/>
              </w:rPr>
            </w:pPr>
          </w:p>
        </w:tc>
        <w:tc>
          <w:tcPr>
            <w:tcW w:w="1275" w:type="dxa"/>
            <w:shd w:val="clear" w:color="auto" w:fill="auto"/>
            <w:vAlign w:val="center"/>
          </w:tcPr>
          <w:p w14:paraId="54F251E6" w14:textId="77777777" w:rsidR="007035F6" w:rsidRPr="001731CE" w:rsidRDefault="007035F6" w:rsidP="00AA4E74">
            <w:pPr>
              <w:shd w:val="clear" w:color="auto" w:fill="FFFFFF"/>
              <w:jc w:val="center"/>
              <w:rPr>
                <w:b/>
                <w:color w:val="000000"/>
                <w:sz w:val="20"/>
                <w:szCs w:val="20"/>
              </w:rPr>
            </w:pPr>
          </w:p>
          <w:p w14:paraId="6F3CC43C" w14:textId="77777777" w:rsidR="007035F6" w:rsidRPr="001731CE" w:rsidRDefault="007035F6" w:rsidP="00AA4E74">
            <w:pPr>
              <w:shd w:val="clear" w:color="auto" w:fill="FFFFFF"/>
              <w:jc w:val="center"/>
              <w:rPr>
                <w:color w:val="000000"/>
                <w:sz w:val="20"/>
                <w:szCs w:val="20"/>
              </w:rPr>
            </w:pPr>
            <w:r w:rsidRPr="001731CE">
              <w:rPr>
                <w:b/>
                <w:color w:val="000000"/>
                <w:sz w:val="20"/>
                <w:szCs w:val="20"/>
              </w:rPr>
              <w:t xml:space="preserve">PPG </w:t>
            </w:r>
            <w:r w:rsidRPr="001731CE">
              <w:rPr>
                <w:color w:val="000000"/>
                <w:sz w:val="20"/>
                <w:szCs w:val="20"/>
              </w:rPr>
              <w:t>(a)</w:t>
            </w:r>
          </w:p>
        </w:tc>
        <w:tc>
          <w:tcPr>
            <w:tcW w:w="1134" w:type="dxa"/>
            <w:shd w:val="clear" w:color="auto" w:fill="auto"/>
            <w:vAlign w:val="center"/>
          </w:tcPr>
          <w:p w14:paraId="09413048" w14:textId="77777777" w:rsidR="007035F6" w:rsidRPr="001731CE" w:rsidRDefault="007035F6" w:rsidP="00AA4E74">
            <w:pPr>
              <w:shd w:val="clear" w:color="auto" w:fill="FFFFFF"/>
              <w:jc w:val="center"/>
              <w:rPr>
                <w:color w:val="000000"/>
                <w:sz w:val="20"/>
                <w:szCs w:val="20"/>
              </w:rPr>
            </w:pPr>
            <w:bookmarkStart w:id="22" w:name="PPG_fee"/>
            <w:r w:rsidRPr="001731CE">
              <w:rPr>
                <w:color w:val="000000"/>
                <w:sz w:val="20"/>
                <w:szCs w:val="20"/>
              </w:rPr>
              <w:t>Agency</w:t>
            </w:r>
          </w:p>
          <w:p w14:paraId="24E5DEA6" w14:textId="77777777" w:rsidR="007035F6" w:rsidRPr="001731CE" w:rsidRDefault="007035F6" w:rsidP="00AA4E74">
            <w:pPr>
              <w:shd w:val="clear" w:color="auto" w:fill="FFFFFF"/>
              <w:jc w:val="center"/>
              <w:rPr>
                <w:color w:val="000000"/>
                <w:sz w:val="20"/>
                <w:szCs w:val="20"/>
              </w:rPr>
            </w:pPr>
            <w:r w:rsidRPr="001731CE">
              <w:rPr>
                <w:color w:val="000000"/>
                <w:sz w:val="20"/>
                <w:szCs w:val="20"/>
              </w:rPr>
              <w:t>Fee</w:t>
            </w:r>
            <w:bookmarkEnd w:id="22"/>
            <w:r w:rsidRPr="001731CE">
              <w:rPr>
                <w:b/>
                <w:color w:val="000000"/>
                <w:sz w:val="20"/>
                <w:szCs w:val="20"/>
              </w:rPr>
              <w:t xml:space="preserve"> </w:t>
            </w:r>
            <w:r w:rsidRPr="001731CE">
              <w:rPr>
                <w:color w:val="000000"/>
                <w:sz w:val="20"/>
                <w:szCs w:val="20"/>
              </w:rPr>
              <w:t>(b)</w:t>
            </w:r>
          </w:p>
        </w:tc>
        <w:tc>
          <w:tcPr>
            <w:tcW w:w="1134" w:type="dxa"/>
            <w:shd w:val="clear" w:color="auto" w:fill="auto"/>
            <w:vAlign w:val="center"/>
          </w:tcPr>
          <w:p w14:paraId="219B4B64" w14:textId="77777777" w:rsidR="007035F6" w:rsidRPr="001731CE" w:rsidRDefault="007035F6" w:rsidP="00AA4E74">
            <w:pPr>
              <w:shd w:val="clear" w:color="auto" w:fill="FFFFFF"/>
              <w:jc w:val="center"/>
              <w:rPr>
                <w:b/>
                <w:color w:val="000000"/>
                <w:sz w:val="20"/>
                <w:szCs w:val="20"/>
              </w:rPr>
            </w:pPr>
            <w:r w:rsidRPr="001731CE">
              <w:rPr>
                <w:b/>
                <w:color w:val="000000"/>
                <w:sz w:val="20"/>
                <w:szCs w:val="20"/>
              </w:rPr>
              <w:t>Total</w:t>
            </w:r>
          </w:p>
          <w:p w14:paraId="5DA800EF" w14:textId="77777777" w:rsidR="007035F6" w:rsidRPr="001731CE" w:rsidRDefault="007035F6" w:rsidP="00AA4E74">
            <w:pPr>
              <w:shd w:val="clear" w:color="auto" w:fill="FFFFFF"/>
              <w:jc w:val="center"/>
              <w:rPr>
                <w:color w:val="000000"/>
                <w:sz w:val="20"/>
                <w:szCs w:val="20"/>
              </w:rPr>
            </w:pPr>
            <w:r w:rsidRPr="001731CE">
              <w:rPr>
                <w:color w:val="000000"/>
                <w:sz w:val="20"/>
                <w:szCs w:val="20"/>
              </w:rPr>
              <w:t>c = a + b</w:t>
            </w:r>
          </w:p>
        </w:tc>
      </w:tr>
      <w:tr w:rsidR="003E74C1" w:rsidRPr="001731CE" w14:paraId="1B5F555F" w14:textId="77777777" w:rsidTr="00DE15B6">
        <w:trPr>
          <w:trHeight w:val="215"/>
        </w:trPr>
        <w:tc>
          <w:tcPr>
            <w:tcW w:w="900" w:type="dxa"/>
          </w:tcPr>
          <w:p w14:paraId="4A3F3C28" w14:textId="77777777" w:rsidR="003E74C1" w:rsidRPr="001731CE" w:rsidRDefault="00B12961" w:rsidP="00AA4E74">
            <w:pPr>
              <w:shd w:val="clear" w:color="auto" w:fill="FFFFFF"/>
              <w:rPr>
                <w:color w:val="000000"/>
                <w:sz w:val="20"/>
                <w:szCs w:val="20"/>
              </w:rPr>
            </w:pPr>
            <w:r>
              <w:rPr>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UNDP"/>
                    <w:listEntry w:val="(select)"/>
                    <w:listEntry w:val="ADB"/>
                    <w:listEntry w:val="AfDB"/>
                    <w:listEntry w:val="CI"/>
                    <w:listEntry w:val="DBSA"/>
                    <w:listEntry w:val="EBRD"/>
                    <w:listEntry w:val="FAO"/>
                    <w:listEntry w:val="FUNBIO"/>
                    <w:listEntry w:val="IADB"/>
                    <w:listEntry w:val="IFAD"/>
                    <w:listEntry w:val="IUCN"/>
                    <w:listEntry w:val="UNEP"/>
                    <w:listEntry w:val="UNIDO"/>
                    <w:listEntry w:val="WB"/>
                    <w:listEntry w:val="WWF-US"/>
                    <w:listEntry w:val="FECO"/>
                    <w:listEntry w:val="CAF"/>
                    <w:listEntry w:val="BOAD"/>
                  </w:ddList>
                </w:ffData>
              </w:fldChar>
            </w:r>
            <w:r>
              <w:rPr>
                <w:color w:val="000000"/>
                <w:sz w:val="20"/>
                <w:szCs w:val="20"/>
              </w:rPr>
              <w:instrText xml:space="preserve"> FORMDROPDOWN </w:instrText>
            </w:r>
            <w:r w:rsidR="00A755A1">
              <w:rPr>
                <w:color w:val="000000"/>
                <w:sz w:val="20"/>
                <w:szCs w:val="20"/>
              </w:rPr>
            </w:r>
            <w:r w:rsidR="00A755A1">
              <w:rPr>
                <w:color w:val="000000"/>
                <w:sz w:val="20"/>
                <w:szCs w:val="20"/>
              </w:rPr>
              <w:fldChar w:fldCharType="separate"/>
            </w:r>
            <w:r>
              <w:rPr>
                <w:color w:val="000000"/>
                <w:sz w:val="20"/>
                <w:szCs w:val="20"/>
              </w:rPr>
              <w:fldChar w:fldCharType="end"/>
            </w:r>
            <w:r w:rsidR="003E74C1" w:rsidRPr="001731CE">
              <w:rPr>
                <w:color w:val="000000"/>
                <w:sz w:val="20"/>
                <w:szCs w:val="20"/>
              </w:rPr>
              <w:t xml:space="preserve"> </w:t>
            </w:r>
          </w:p>
        </w:tc>
        <w:tc>
          <w:tcPr>
            <w:tcW w:w="780" w:type="dxa"/>
            <w:shd w:val="clear" w:color="auto" w:fill="auto"/>
          </w:tcPr>
          <w:p w14:paraId="76F3A6B1" w14:textId="77777777" w:rsidR="003E74C1" w:rsidRPr="001731CE" w:rsidRDefault="00B12961" w:rsidP="00AA4E74">
            <w:pPr>
              <w:shd w:val="clear" w:color="auto" w:fill="FFFFFF"/>
              <w:rPr>
                <w:bCs/>
                <w:smallCaps/>
                <w:color w:val="000000"/>
                <w:sz w:val="20"/>
                <w:szCs w:val="20"/>
              </w:rPr>
            </w:pPr>
            <w:r>
              <w:rPr>
                <w:bCs/>
                <w:smallCaps/>
                <w:color w:val="000000"/>
                <w:sz w:val="20"/>
                <w:szCs w:val="20"/>
              </w:rPr>
              <w:fldChar w:fldCharType="begin">
                <w:ffData>
                  <w:name w:val="PPG_TF_01"/>
                  <w:enabled/>
                  <w:calcOnExit w:val="0"/>
                  <w:ddList>
                    <w:listEntry w:val="GEF TF"/>
                    <w:listEntry w:val="(select)"/>
                    <w:listEntry w:val="LDCF"/>
                    <w:listEntry w:val="NPIF"/>
                    <w:listEntry w:val="SCCF-A"/>
                    <w:listEntry w:val="SCCF-B"/>
                  </w:ddList>
                </w:ffData>
              </w:fldChar>
            </w:r>
            <w:bookmarkStart w:id="23" w:name="PPG_TF_01"/>
            <w:r>
              <w:rPr>
                <w:bCs/>
                <w:smallCaps/>
                <w:color w:val="000000"/>
                <w:sz w:val="20"/>
                <w:szCs w:val="20"/>
              </w:rPr>
              <w:instrText xml:space="preserve"> FORMDROPDOWN </w:instrText>
            </w:r>
            <w:r w:rsidR="00A755A1">
              <w:rPr>
                <w:bCs/>
                <w:smallCaps/>
                <w:color w:val="000000"/>
                <w:sz w:val="20"/>
                <w:szCs w:val="20"/>
              </w:rPr>
            </w:r>
            <w:r w:rsidR="00A755A1">
              <w:rPr>
                <w:bCs/>
                <w:smallCaps/>
                <w:color w:val="000000"/>
                <w:sz w:val="20"/>
                <w:szCs w:val="20"/>
              </w:rPr>
              <w:fldChar w:fldCharType="separate"/>
            </w:r>
            <w:r>
              <w:rPr>
                <w:bCs/>
                <w:smallCaps/>
                <w:color w:val="000000"/>
                <w:sz w:val="20"/>
                <w:szCs w:val="20"/>
              </w:rPr>
              <w:fldChar w:fldCharType="end"/>
            </w:r>
            <w:bookmarkEnd w:id="23"/>
          </w:p>
        </w:tc>
        <w:tc>
          <w:tcPr>
            <w:tcW w:w="1621" w:type="dxa"/>
            <w:shd w:val="clear" w:color="auto" w:fill="auto"/>
          </w:tcPr>
          <w:p w14:paraId="7C4EBE2C" w14:textId="77777777" w:rsidR="003E74C1" w:rsidRPr="001731CE" w:rsidRDefault="00B12961" w:rsidP="00AA4E74">
            <w:pPr>
              <w:shd w:val="clear" w:color="auto" w:fill="FFFFFF"/>
              <w:rPr>
                <w:color w:val="000000"/>
                <w:sz w:val="20"/>
                <w:szCs w:val="20"/>
              </w:rPr>
            </w:pPr>
            <w:r>
              <w:rPr>
                <w:color w:val="000000"/>
                <w:sz w:val="20"/>
                <w:szCs w:val="20"/>
              </w:rPr>
              <w:t>Mauritius</w:t>
            </w:r>
            <w:r w:rsidR="003E74C1" w:rsidRPr="001731CE">
              <w:rPr>
                <w:color w:val="000000"/>
                <w:sz w:val="20"/>
                <w:szCs w:val="20"/>
              </w:rPr>
              <w:t xml:space="preserve"> </w:t>
            </w:r>
          </w:p>
        </w:tc>
        <w:tc>
          <w:tcPr>
            <w:tcW w:w="1842" w:type="dxa"/>
            <w:shd w:val="clear" w:color="auto" w:fill="auto"/>
          </w:tcPr>
          <w:p w14:paraId="73E29125" w14:textId="77777777" w:rsidR="003E74C1" w:rsidRPr="001731CE" w:rsidRDefault="00B12961" w:rsidP="00AA4E74">
            <w:pPr>
              <w:shd w:val="clear" w:color="auto" w:fill="FFFFFF"/>
              <w:rPr>
                <w:color w:val="000000"/>
                <w:sz w:val="20"/>
                <w:szCs w:val="20"/>
              </w:rPr>
            </w:pPr>
            <w:r>
              <w:rPr>
                <w:color w:val="000000"/>
                <w:sz w:val="20"/>
                <w:szCs w:val="20"/>
              </w:rPr>
              <w:fldChar w:fldCharType="begin">
                <w:ffData>
                  <w:name w:val="PPG_fa_01"/>
                  <w:enabled/>
                  <w:calcOnExit w:val="0"/>
                  <w:ddList>
                    <w:listEntry w:val="Climate Change"/>
                    <w:listEntry w:val="(select)"/>
                    <w:listEntry w:val="Biodiversity"/>
                    <w:listEntry w:val="Chemicals and Wastes"/>
                    <w:listEntry w:val="International Waters"/>
                    <w:listEntry w:val="Land Degradation"/>
                  </w:ddList>
                </w:ffData>
              </w:fldChar>
            </w:r>
            <w:bookmarkStart w:id="24" w:name="PPG_fa_01"/>
            <w:r>
              <w:rPr>
                <w:color w:val="000000"/>
                <w:sz w:val="20"/>
                <w:szCs w:val="20"/>
              </w:rPr>
              <w:instrText xml:space="preserve"> FORMDROPDOWN </w:instrText>
            </w:r>
            <w:r w:rsidR="00A755A1">
              <w:rPr>
                <w:color w:val="000000"/>
                <w:sz w:val="20"/>
                <w:szCs w:val="20"/>
              </w:rPr>
            </w:r>
            <w:r w:rsidR="00A755A1">
              <w:rPr>
                <w:color w:val="000000"/>
                <w:sz w:val="20"/>
                <w:szCs w:val="20"/>
              </w:rPr>
              <w:fldChar w:fldCharType="separate"/>
            </w:r>
            <w:r>
              <w:rPr>
                <w:color w:val="000000"/>
                <w:sz w:val="20"/>
                <w:szCs w:val="20"/>
              </w:rPr>
              <w:fldChar w:fldCharType="end"/>
            </w:r>
            <w:bookmarkEnd w:id="24"/>
            <w:r w:rsidR="003E74C1" w:rsidRPr="001731CE">
              <w:rPr>
                <w:color w:val="000000"/>
                <w:sz w:val="20"/>
                <w:szCs w:val="20"/>
              </w:rPr>
              <w:t xml:space="preserve">  </w:t>
            </w:r>
          </w:p>
        </w:tc>
        <w:tc>
          <w:tcPr>
            <w:tcW w:w="1560" w:type="dxa"/>
            <w:shd w:val="clear" w:color="auto" w:fill="auto"/>
          </w:tcPr>
          <w:p w14:paraId="55E73FB0" w14:textId="77777777" w:rsidR="003E74C1" w:rsidRPr="001731CE" w:rsidRDefault="008B0AE8" w:rsidP="00AA4E74">
            <w:pPr>
              <w:shd w:val="clear" w:color="auto" w:fill="FFFFFF"/>
              <w:rPr>
                <w:color w:val="000000"/>
                <w:sz w:val="20"/>
                <w:szCs w:val="20"/>
              </w:rPr>
            </w:pPr>
            <w:r w:rsidRPr="001731CE">
              <w:rPr>
                <w:color w:val="000000"/>
                <w:sz w:val="20"/>
                <w:szCs w:val="20"/>
              </w:rPr>
              <w:fldChar w:fldCharType="begin">
                <w:ffData>
                  <w:name w:val="PPG_SubTheme_01"/>
                  <w:enabled/>
                  <w:calcOnExit w:val="0"/>
                  <w:ddList>
                    <w:listEntry w:val="(select as applicable)"/>
                    <w:listEntry w:val="POPS"/>
                    <w:listEntry w:val="Mercury"/>
                    <w:listEntry w:val="ODS"/>
                    <w:listEntry w:val="SAICM"/>
                    <w:listEntry w:val="SGP"/>
                    <w:listEntry w:val="Non-Grant"/>
                    <w:listEntry w:val="FOLU IP"/>
                    <w:listEntry w:val="SC IP"/>
                    <w:listEntry w:val="SFM IP"/>
                  </w:ddList>
                </w:ffData>
              </w:fldChar>
            </w:r>
            <w:bookmarkStart w:id="25" w:name="PPG_SubTheme_01"/>
            <w:r w:rsidRPr="001731CE">
              <w:rPr>
                <w:color w:val="000000"/>
                <w:sz w:val="20"/>
                <w:szCs w:val="20"/>
              </w:rPr>
              <w:instrText xml:space="preserve"> FORMDROPDOWN </w:instrText>
            </w:r>
            <w:r w:rsidR="00A755A1">
              <w:rPr>
                <w:color w:val="000000"/>
                <w:sz w:val="20"/>
                <w:szCs w:val="20"/>
              </w:rPr>
            </w:r>
            <w:r w:rsidR="00A755A1">
              <w:rPr>
                <w:color w:val="000000"/>
                <w:sz w:val="20"/>
                <w:szCs w:val="20"/>
              </w:rPr>
              <w:fldChar w:fldCharType="separate"/>
            </w:r>
            <w:r w:rsidRPr="001731CE">
              <w:rPr>
                <w:color w:val="000000"/>
                <w:sz w:val="20"/>
                <w:szCs w:val="20"/>
              </w:rPr>
              <w:fldChar w:fldCharType="end"/>
            </w:r>
            <w:bookmarkEnd w:id="25"/>
          </w:p>
        </w:tc>
        <w:tc>
          <w:tcPr>
            <w:tcW w:w="1275" w:type="dxa"/>
            <w:shd w:val="clear" w:color="auto" w:fill="auto"/>
          </w:tcPr>
          <w:p w14:paraId="23831789" w14:textId="72BA2179" w:rsidR="003E74C1" w:rsidRPr="00B12961" w:rsidRDefault="003E615C" w:rsidP="00AA4E74">
            <w:pPr>
              <w:shd w:val="clear" w:color="auto" w:fill="FFFFFF"/>
              <w:jc w:val="right"/>
              <w:rPr>
                <w:color w:val="000000"/>
                <w:sz w:val="20"/>
                <w:szCs w:val="20"/>
                <w:highlight w:val="lightGray"/>
              </w:rPr>
            </w:pPr>
            <w:r>
              <w:rPr>
                <w:color w:val="000000"/>
                <w:sz w:val="20"/>
                <w:szCs w:val="20"/>
                <w:highlight w:val="lightGray"/>
              </w:rPr>
              <w:t>50</w:t>
            </w:r>
            <w:r w:rsidR="00B12961" w:rsidRPr="00B12961">
              <w:rPr>
                <w:color w:val="000000"/>
                <w:sz w:val="20"/>
                <w:szCs w:val="20"/>
                <w:highlight w:val="lightGray"/>
              </w:rPr>
              <w:t>,000</w:t>
            </w:r>
          </w:p>
        </w:tc>
        <w:tc>
          <w:tcPr>
            <w:tcW w:w="1134" w:type="dxa"/>
            <w:shd w:val="clear" w:color="auto" w:fill="auto"/>
          </w:tcPr>
          <w:p w14:paraId="772A9904" w14:textId="3CE011AA" w:rsidR="003E74C1" w:rsidRPr="00B12961" w:rsidRDefault="003E615C" w:rsidP="00AA4E74">
            <w:pPr>
              <w:shd w:val="clear" w:color="auto" w:fill="FFFFFF"/>
              <w:jc w:val="right"/>
              <w:rPr>
                <w:color w:val="000000"/>
                <w:sz w:val="20"/>
                <w:szCs w:val="20"/>
                <w:highlight w:val="lightGray"/>
              </w:rPr>
            </w:pPr>
            <w:r>
              <w:rPr>
                <w:color w:val="000000"/>
                <w:sz w:val="20"/>
                <w:szCs w:val="20"/>
                <w:highlight w:val="lightGray"/>
              </w:rPr>
              <w:t>4,</w:t>
            </w:r>
            <w:r w:rsidR="006D3540">
              <w:rPr>
                <w:color w:val="000000"/>
                <w:sz w:val="20"/>
                <w:szCs w:val="20"/>
                <w:highlight w:val="lightGray"/>
              </w:rPr>
              <w:t>750</w:t>
            </w:r>
          </w:p>
        </w:tc>
        <w:tc>
          <w:tcPr>
            <w:tcW w:w="1134" w:type="dxa"/>
            <w:shd w:val="clear" w:color="auto" w:fill="auto"/>
          </w:tcPr>
          <w:p w14:paraId="383D1BC6" w14:textId="3CF8DEE7" w:rsidR="003E74C1" w:rsidRPr="00B12961" w:rsidRDefault="003E615C" w:rsidP="00AA4E74">
            <w:pPr>
              <w:shd w:val="clear" w:color="auto" w:fill="FFFFFF"/>
              <w:jc w:val="right"/>
              <w:rPr>
                <w:color w:val="000000"/>
                <w:sz w:val="20"/>
                <w:szCs w:val="20"/>
                <w:highlight w:val="lightGray"/>
              </w:rPr>
            </w:pPr>
            <w:r>
              <w:rPr>
                <w:color w:val="000000"/>
                <w:sz w:val="20"/>
                <w:szCs w:val="20"/>
                <w:highlight w:val="lightGray"/>
              </w:rPr>
              <w:t>54,</w:t>
            </w:r>
            <w:r w:rsidR="006D3540">
              <w:rPr>
                <w:color w:val="000000"/>
                <w:sz w:val="20"/>
                <w:szCs w:val="20"/>
                <w:highlight w:val="lightGray"/>
              </w:rPr>
              <w:t>75</w:t>
            </w:r>
            <w:r>
              <w:rPr>
                <w:color w:val="000000"/>
                <w:sz w:val="20"/>
                <w:szCs w:val="20"/>
                <w:highlight w:val="lightGray"/>
              </w:rPr>
              <w:t>0</w:t>
            </w:r>
          </w:p>
        </w:tc>
      </w:tr>
      <w:tr w:rsidR="00503625" w:rsidRPr="001731CE" w14:paraId="1CF632A3" w14:textId="77777777" w:rsidTr="00DE15B6">
        <w:trPr>
          <w:trHeight w:val="253"/>
        </w:trPr>
        <w:tc>
          <w:tcPr>
            <w:tcW w:w="6703" w:type="dxa"/>
            <w:gridSpan w:val="5"/>
            <w:tcBorders>
              <w:top w:val="double" w:sz="4" w:space="0" w:color="auto"/>
            </w:tcBorders>
          </w:tcPr>
          <w:p w14:paraId="335ADA34" w14:textId="77777777" w:rsidR="00503625" w:rsidRPr="001731CE" w:rsidRDefault="00503625" w:rsidP="00503625">
            <w:pPr>
              <w:shd w:val="clear" w:color="auto" w:fill="FFFFFF"/>
              <w:jc w:val="both"/>
              <w:rPr>
                <w:color w:val="000000"/>
                <w:sz w:val="20"/>
                <w:szCs w:val="20"/>
              </w:rPr>
            </w:pPr>
            <w:r w:rsidRPr="001731CE">
              <w:rPr>
                <w:b/>
                <w:color w:val="000000"/>
                <w:sz w:val="20"/>
                <w:szCs w:val="20"/>
              </w:rPr>
              <w:t>Total PPG Amount</w:t>
            </w:r>
          </w:p>
        </w:tc>
        <w:tc>
          <w:tcPr>
            <w:tcW w:w="1275" w:type="dxa"/>
            <w:tcBorders>
              <w:top w:val="double" w:sz="4" w:space="0" w:color="auto"/>
            </w:tcBorders>
            <w:shd w:val="clear" w:color="auto" w:fill="auto"/>
          </w:tcPr>
          <w:p w14:paraId="3F71DBAD" w14:textId="301FC3A6" w:rsidR="00503625" w:rsidRPr="00B12961" w:rsidRDefault="003E615C" w:rsidP="00503625">
            <w:pPr>
              <w:jc w:val="right"/>
              <w:rPr>
                <w:b/>
                <w:highlight w:val="lightGray"/>
              </w:rPr>
            </w:pPr>
            <w:r>
              <w:rPr>
                <w:b/>
                <w:color w:val="000000"/>
                <w:sz w:val="20"/>
                <w:szCs w:val="20"/>
                <w:highlight w:val="lightGray"/>
              </w:rPr>
              <w:t>5</w:t>
            </w:r>
            <w:r w:rsidRPr="00B12961">
              <w:rPr>
                <w:b/>
                <w:color w:val="000000"/>
                <w:sz w:val="20"/>
                <w:szCs w:val="20"/>
                <w:highlight w:val="lightGray"/>
              </w:rPr>
              <w:t>0</w:t>
            </w:r>
            <w:r w:rsidR="00B12961" w:rsidRPr="00B12961">
              <w:rPr>
                <w:b/>
                <w:color w:val="000000"/>
                <w:sz w:val="20"/>
                <w:szCs w:val="20"/>
                <w:highlight w:val="lightGray"/>
              </w:rPr>
              <w:t>,000</w:t>
            </w:r>
          </w:p>
        </w:tc>
        <w:tc>
          <w:tcPr>
            <w:tcW w:w="1134" w:type="dxa"/>
            <w:tcBorders>
              <w:top w:val="double" w:sz="4" w:space="0" w:color="auto"/>
            </w:tcBorders>
            <w:shd w:val="clear" w:color="auto" w:fill="auto"/>
          </w:tcPr>
          <w:p w14:paraId="0E054D13" w14:textId="46E6BCE5" w:rsidR="00503625" w:rsidRPr="00B12961" w:rsidRDefault="003E615C" w:rsidP="00503625">
            <w:pPr>
              <w:jc w:val="right"/>
              <w:rPr>
                <w:b/>
                <w:highlight w:val="lightGray"/>
              </w:rPr>
            </w:pPr>
            <w:r>
              <w:rPr>
                <w:b/>
                <w:color w:val="000000"/>
                <w:sz w:val="20"/>
                <w:szCs w:val="20"/>
                <w:highlight w:val="lightGray"/>
              </w:rPr>
              <w:t>4,</w:t>
            </w:r>
            <w:r w:rsidR="006D3540">
              <w:rPr>
                <w:b/>
                <w:color w:val="000000"/>
                <w:sz w:val="20"/>
                <w:szCs w:val="20"/>
                <w:highlight w:val="lightGray"/>
              </w:rPr>
              <w:t>750</w:t>
            </w:r>
          </w:p>
        </w:tc>
        <w:tc>
          <w:tcPr>
            <w:tcW w:w="1134" w:type="dxa"/>
            <w:tcBorders>
              <w:top w:val="double" w:sz="4" w:space="0" w:color="auto"/>
            </w:tcBorders>
            <w:shd w:val="clear" w:color="auto" w:fill="auto"/>
          </w:tcPr>
          <w:p w14:paraId="7C6A817A" w14:textId="5E5EFF35" w:rsidR="00503625" w:rsidRPr="00B12961" w:rsidRDefault="003E615C" w:rsidP="00503625">
            <w:pPr>
              <w:jc w:val="right"/>
              <w:rPr>
                <w:b/>
                <w:highlight w:val="lightGray"/>
              </w:rPr>
            </w:pPr>
            <w:r>
              <w:rPr>
                <w:b/>
                <w:color w:val="000000"/>
                <w:sz w:val="20"/>
                <w:szCs w:val="20"/>
                <w:highlight w:val="lightGray"/>
              </w:rPr>
              <w:t>54,</w:t>
            </w:r>
            <w:r w:rsidR="006D3540">
              <w:rPr>
                <w:b/>
                <w:color w:val="000000"/>
                <w:sz w:val="20"/>
                <w:szCs w:val="20"/>
                <w:highlight w:val="lightGray"/>
              </w:rPr>
              <w:t>75</w:t>
            </w:r>
            <w:r>
              <w:rPr>
                <w:b/>
                <w:color w:val="000000"/>
                <w:sz w:val="20"/>
                <w:szCs w:val="20"/>
                <w:highlight w:val="lightGray"/>
              </w:rPr>
              <w:t>0</w:t>
            </w:r>
          </w:p>
        </w:tc>
      </w:tr>
    </w:tbl>
    <w:p w14:paraId="2C0160DF" w14:textId="77777777" w:rsidR="006669B1" w:rsidRPr="001731CE" w:rsidRDefault="006669B1" w:rsidP="00AA4E74">
      <w:pPr>
        <w:pStyle w:val="GEFTableHeading"/>
        <w:shd w:val="clear" w:color="auto" w:fill="FFFFFF"/>
        <w:rPr>
          <w:rFonts w:ascii="Times New Roman" w:hAnsi="Times New Roman"/>
        </w:rPr>
      </w:pPr>
    </w:p>
    <w:p w14:paraId="4BEE13B1" w14:textId="77777777" w:rsidR="00CE52B0" w:rsidRPr="001731CE" w:rsidRDefault="00E13666" w:rsidP="00AA4E74">
      <w:pPr>
        <w:pStyle w:val="GEFTableHeading"/>
        <w:shd w:val="clear" w:color="auto" w:fill="FFFFFF"/>
        <w:rPr>
          <w:rFonts w:ascii="Times New Roman" w:hAnsi="Times New Roman"/>
        </w:rPr>
      </w:pPr>
      <w:r w:rsidRPr="001731CE">
        <w:rPr>
          <w:rFonts w:ascii="Times New Roman" w:hAnsi="Times New Roman"/>
        </w:rPr>
        <w:t xml:space="preserve">F. </w:t>
      </w:r>
      <w:r w:rsidR="00FB7E49" w:rsidRPr="001731CE">
        <w:rPr>
          <w:rFonts w:ascii="Times New Roman" w:hAnsi="Times New Roman"/>
        </w:rPr>
        <w:t xml:space="preserve"> </w:t>
      </w:r>
      <w:r w:rsidR="008363F3" w:rsidRPr="001731CE">
        <w:rPr>
          <w:rFonts w:ascii="Times New Roman" w:hAnsi="Times New Roman"/>
        </w:rPr>
        <w:t>P</w:t>
      </w:r>
      <w:r w:rsidR="00CE52B0" w:rsidRPr="001731CE">
        <w:rPr>
          <w:rFonts w:ascii="Times New Roman" w:hAnsi="Times New Roman"/>
        </w:rPr>
        <w:t xml:space="preserve">roject’s Target Contributions to </w:t>
      </w:r>
      <w:r w:rsidR="008D6D5A" w:rsidRPr="001731CE">
        <w:rPr>
          <w:rFonts w:ascii="Times New Roman" w:hAnsi="Times New Roman"/>
        </w:rPr>
        <w:t>GEF 7 Core Indicators</w:t>
      </w:r>
    </w:p>
    <w:p w14:paraId="07764E7D" w14:textId="77777777" w:rsidR="005F3E7A" w:rsidRPr="001731CE" w:rsidRDefault="005F3E7A" w:rsidP="00AA4E74">
      <w:pPr>
        <w:pStyle w:val="Footer"/>
        <w:shd w:val="clear" w:color="auto" w:fill="FFFFFF"/>
        <w:tabs>
          <w:tab w:val="clear" w:pos="4320"/>
          <w:tab w:val="clear" w:pos="8640"/>
        </w:tabs>
        <w:spacing w:after="120"/>
        <w:ind w:left="-720"/>
        <w:rPr>
          <w:sz w:val="22"/>
          <w:szCs w:val="22"/>
        </w:rPr>
      </w:pPr>
      <w:bookmarkStart w:id="26" w:name="_Hlk511815435"/>
      <w:r w:rsidRPr="001731CE">
        <w:rPr>
          <w:sz w:val="22"/>
          <w:szCs w:val="22"/>
        </w:rPr>
        <w:t>Provide th</w:t>
      </w:r>
      <w:r w:rsidR="00F557E8" w:rsidRPr="001731CE">
        <w:rPr>
          <w:sz w:val="22"/>
          <w:szCs w:val="22"/>
          <w:lang w:val="en-US"/>
        </w:rPr>
        <w:t>e relevant sub-</w:t>
      </w:r>
      <w:r w:rsidRPr="001731CE">
        <w:rPr>
          <w:sz w:val="22"/>
          <w:szCs w:val="22"/>
        </w:rPr>
        <w:t xml:space="preserve">indicator values </w:t>
      </w:r>
      <w:r w:rsidR="008A2F7D" w:rsidRPr="001731CE">
        <w:rPr>
          <w:sz w:val="22"/>
          <w:szCs w:val="22"/>
          <w:lang w:val="en-US"/>
        </w:rPr>
        <w:t xml:space="preserve">for this project using the methodologies indicated </w:t>
      </w:r>
      <w:r w:rsidR="008A2F7D" w:rsidRPr="00AA4E74">
        <w:rPr>
          <w:sz w:val="22"/>
          <w:szCs w:val="22"/>
          <w:shd w:val="clear" w:color="auto" w:fill="FFFFFF"/>
          <w:lang w:val="en-US"/>
        </w:rPr>
        <w:t xml:space="preserve">in </w:t>
      </w:r>
      <w:r w:rsidR="00DF2DB3" w:rsidRPr="00AA4E74">
        <w:rPr>
          <w:sz w:val="22"/>
          <w:szCs w:val="22"/>
          <w:shd w:val="clear" w:color="auto" w:fill="FFFFFF"/>
          <w:lang w:val="en-US"/>
        </w:rPr>
        <w:t xml:space="preserve">the Core Indicator Worksheet provided in </w:t>
      </w:r>
      <w:r w:rsidR="008A2F7D" w:rsidRPr="00AA4E74">
        <w:rPr>
          <w:sz w:val="22"/>
          <w:szCs w:val="22"/>
          <w:shd w:val="clear" w:color="auto" w:fill="FFFFFF"/>
          <w:lang w:val="en-US"/>
        </w:rPr>
        <w:t>Annex B and aggregating them in the table below</w:t>
      </w:r>
      <w:r w:rsidRPr="00AA4E74">
        <w:rPr>
          <w:sz w:val="22"/>
          <w:szCs w:val="22"/>
          <w:shd w:val="clear" w:color="auto" w:fill="FFFFFF"/>
        </w:rPr>
        <w:t>.  Progress in progra</w:t>
      </w:r>
      <w:r w:rsidRPr="001731CE">
        <w:rPr>
          <w:sz w:val="22"/>
          <w:szCs w:val="22"/>
        </w:rPr>
        <w:t xml:space="preserve">mming against these targets </w:t>
      </w:r>
      <w:r w:rsidR="008A2F7D" w:rsidRPr="001731CE">
        <w:rPr>
          <w:sz w:val="22"/>
          <w:szCs w:val="22"/>
          <w:lang w:val="en-US"/>
        </w:rPr>
        <w:t xml:space="preserve">is updated at the time of CEO endorsement, at midterm evaluation, and at terminal evaluation. </w:t>
      </w:r>
      <w:r w:rsidR="00E65A01" w:rsidRPr="001731CE">
        <w:rPr>
          <w:sz w:val="22"/>
          <w:szCs w:val="22"/>
          <w:lang w:val="en-US"/>
        </w:rPr>
        <w:t xml:space="preserve">Achieved </w:t>
      </w:r>
      <w:r w:rsidR="00E65A01" w:rsidRPr="001731CE">
        <w:rPr>
          <w:sz w:val="22"/>
          <w:szCs w:val="22"/>
          <w:lang w:val="en-US"/>
        </w:rPr>
        <w:lastRenderedPageBreak/>
        <w:t>targets</w:t>
      </w:r>
      <w:r w:rsidR="008A2F7D" w:rsidRPr="001731CE">
        <w:rPr>
          <w:sz w:val="22"/>
          <w:szCs w:val="22"/>
          <w:lang w:val="en-US"/>
        </w:rPr>
        <w:t xml:space="preserve"> </w:t>
      </w:r>
      <w:r w:rsidRPr="001731CE">
        <w:rPr>
          <w:sz w:val="22"/>
          <w:szCs w:val="22"/>
        </w:rPr>
        <w:t xml:space="preserve">will be aggregated and reported </w:t>
      </w:r>
      <w:r w:rsidR="00EA6E0B" w:rsidRPr="001731CE">
        <w:rPr>
          <w:sz w:val="22"/>
          <w:szCs w:val="22"/>
          <w:lang w:val="en-US"/>
        </w:rPr>
        <w:t xml:space="preserve">at </w:t>
      </w:r>
      <w:proofErr w:type="spellStart"/>
      <w:r w:rsidR="00EA6E0B" w:rsidRPr="001731CE">
        <w:rPr>
          <w:sz w:val="22"/>
          <w:szCs w:val="22"/>
          <w:lang w:val="en-US"/>
        </w:rPr>
        <w:t>anytime</w:t>
      </w:r>
      <w:proofErr w:type="spellEnd"/>
      <w:r w:rsidR="00EA6E0B" w:rsidRPr="001731CE">
        <w:rPr>
          <w:sz w:val="22"/>
          <w:szCs w:val="22"/>
          <w:lang w:val="en-US"/>
        </w:rPr>
        <w:t xml:space="preserve"> during </w:t>
      </w:r>
      <w:r w:rsidRPr="001731CE">
        <w:rPr>
          <w:sz w:val="22"/>
          <w:szCs w:val="22"/>
        </w:rPr>
        <w:t>the replenishment period. There is no need to complete this table for climate adaptation projects financed solely through LDCF and SCCF.</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6840"/>
        <w:gridCol w:w="2425"/>
      </w:tblGrid>
      <w:tr w:rsidR="00F557E8" w:rsidRPr="001731CE" w14:paraId="78F3732C" w14:textId="77777777" w:rsidTr="00D85FBF">
        <w:tc>
          <w:tcPr>
            <w:tcW w:w="7537" w:type="dxa"/>
            <w:gridSpan w:val="2"/>
            <w:shd w:val="clear" w:color="auto" w:fill="F2F2F2"/>
          </w:tcPr>
          <w:p w14:paraId="60ADB513" w14:textId="77777777" w:rsidR="00F557E8" w:rsidRPr="001731CE" w:rsidRDefault="00F557E8" w:rsidP="00AA4E74">
            <w:pPr>
              <w:shd w:val="clear" w:color="auto" w:fill="FFFFFF"/>
              <w:rPr>
                <w:b/>
                <w:color w:val="000000"/>
                <w:sz w:val="22"/>
                <w:szCs w:val="22"/>
              </w:rPr>
            </w:pPr>
            <w:bookmarkStart w:id="27" w:name="_Hlk511815486"/>
            <w:bookmarkEnd w:id="26"/>
            <w:r w:rsidRPr="00E0521B">
              <w:rPr>
                <w:b/>
                <w:color w:val="000000"/>
                <w:sz w:val="22"/>
                <w:szCs w:val="22"/>
              </w:rPr>
              <w:t>Project Core Indicators</w:t>
            </w:r>
          </w:p>
        </w:tc>
        <w:tc>
          <w:tcPr>
            <w:tcW w:w="2425" w:type="dxa"/>
            <w:shd w:val="clear" w:color="auto" w:fill="F2F2F2"/>
          </w:tcPr>
          <w:p w14:paraId="0308856E" w14:textId="77777777" w:rsidR="00F557E8" w:rsidRPr="001731CE" w:rsidRDefault="00F557E8" w:rsidP="00AA4E74">
            <w:pPr>
              <w:shd w:val="clear" w:color="auto" w:fill="FFFFFF"/>
              <w:jc w:val="center"/>
              <w:rPr>
                <w:b/>
                <w:color w:val="000000"/>
                <w:sz w:val="22"/>
                <w:szCs w:val="22"/>
              </w:rPr>
            </w:pPr>
            <w:r w:rsidRPr="001731CE">
              <w:rPr>
                <w:b/>
                <w:color w:val="000000"/>
                <w:sz w:val="22"/>
                <w:szCs w:val="22"/>
              </w:rPr>
              <w:t>Expected at PIF</w:t>
            </w:r>
          </w:p>
        </w:tc>
      </w:tr>
      <w:tr w:rsidR="00F557E8" w:rsidRPr="001731CE" w14:paraId="4B0C0880" w14:textId="77777777" w:rsidTr="00D85FBF">
        <w:trPr>
          <w:trHeight w:val="539"/>
        </w:trPr>
        <w:tc>
          <w:tcPr>
            <w:tcW w:w="697" w:type="dxa"/>
          </w:tcPr>
          <w:p w14:paraId="2E965141" w14:textId="77777777" w:rsidR="00F557E8" w:rsidRPr="001731CE" w:rsidRDefault="00F557E8" w:rsidP="00AA4E74">
            <w:pPr>
              <w:pStyle w:val="NoSpacing"/>
              <w:shd w:val="clear" w:color="auto" w:fill="FFFFFF"/>
              <w:jc w:val="center"/>
              <w:rPr>
                <w:rFonts w:ascii="Times New Roman" w:hAnsi="Times New Roman"/>
              </w:rPr>
            </w:pPr>
            <w:r w:rsidRPr="001731CE">
              <w:rPr>
                <w:rFonts w:ascii="Times New Roman" w:hAnsi="Times New Roman"/>
              </w:rPr>
              <w:t>1</w:t>
            </w:r>
          </w:p>
        </w:tc>
        <w:tc>
          <w:tcPr>
            <w:tcW w:w="6840" w:type="dxa"/>
            <w:shd w:val="clear" w:color="auto" w:fill="auto"/>
          </w:tcPr>
          <w:p w14:paraId="57B7F52A" w14:textId="77777777" w:rsidR="00F557E8" w:rsidRPr="001731CE" w:rsidRDefault="00F557E8" w:rsidP="00AA4E74">
            <w:pPr>
              <w:pStyle w:val="NoSpacing"/>
              <w:shd w:val="clear" w:color="auto" w:fill="FFFFFF"/>
              <w:rPr>
                <w:rFonts w:ascii="Times New Roman" w:hAnsi="Times New Roman"/>
                <w:color w:val="000000"/>
              </w:rPr>
            </w:pPr>
            <w:r w:rsidRPr="001731CE">
              <w:rPr>
                <w:rFonts w:ascii="Times New Roman" w:hAnsi="Times New Roman"/>
                <w:b/>
              </w:rPr>
              <w:t>Terrestrial protected areas</w:t>
            </w:r>
            <w:r w:rsidRPr="001731CE">
              <w:rPr>
                <w:rFonts w:ascii="Times New Roman" w:hAnsi="Times New Roman"/>
              </w:rPr>
              <w:t xml:space="preserve"> created or under improved management for conservation and sustainable use</w:t>
            </w:r>
            <w:r w:rsidR="0092560C" w:rsidRPr="001731CE">
              <w:rPr>
                <w:rFonts w:ascii="Times New Roman" w:hAnsi="Times New Roman"/>
              </w:rPr>
              <w:t xml:space="preserve"> (</w:t>
            </w:r>
            <w:r w:rsidR="0092560C" w:rsidRPr="001731CE">
              <w:rPr>
                <w:rFonts w:ascii="Times New Roman" w:hAnsi="Times New Roman"/>
                <w:color w:val="000000"/>
              </w:rPr>
              <w:t>Million Hectares)</w:t>
            </w:r>
          </w:p>
        </w:tc>
        <w:tc>
          <w:tcPr>
            <w:tcW w:w="2425" w:type="dxa"/>
            <w:shd w:val="clear" w:color="auto" w:fill="auto"/>
          </w:tcPr>
          <w:p w14:paraId="47454232" w14:textId="77777777" w:rsidR="00F557E8" w:rsidRPr="001731CE" w:rsidRDefault="00F557E8" w:rsidP="00AA4E74">
            <w:pPr>
              <w:shd w:val="clear" w:color="auto" w:fill="FFFFFF"/>
              <w:jc w:val="center"/>
              <w:rPr>
                <w:color w:val="000000"/>
                <w:sz w:val="22"/>
                <w:szCs w:val="22"/>
              </w:rPr>
            </w:pPr>
          </w:p>
          <w:p w14:paraId="47094E42" w14:textId="77777777" w:rsidR="00F557E8" w:rsidRPr="001731CE" w:rsidRDefault="00F557E8" w:rsidP="00AA4E74">
            <w:pPr>
              <w:shd w:val="clear" w:color="auto" w:fill="FFFFFF"/>
              <w:jc w:val="center"/>
              <w:rPr>
                <w:color w:val="000000"/>
                <w:sz w:val="22"/>
                <w:szCs w:val="22"/>
              </w:rPr>
            </w:pPr>
          </w:p>
        </w:tc>
      </w:tr>
      <w:tr w:rsidR="00F557E8" w:rsidRPr="001731CE" w14:paraId="0AD73292" w14:textId="77777777" w:rsidTr="00D85FBF">
        <w:trPr>
          <w:trHeight w:val="521"/>
        </w:trPr>
        <w:tc>
          <w:tcPr>
            <w:tcW w:w="697" w:type="dxa"/>
          </w:tcPr>
          <w:p w14:paraId="27AEFE21" w14:textId="77777777" w:rsidR="00F557E8" w:rsidRPr="001731CE" w:rsidRDefault="00F557E8" w:rsidP="00AA4E74">
            <w:pPr>
              <w:pStyle w:val="NoSpacing"/>
              <w:shd w:val="clear" w:color="auto" w:fill="FFFFFF"/>
              <w:jc w:val="center"/>
              <w:rPr>
                <w:rFonts w:ascii="Times New Roman" w:hAnsi="Times New Roman"/>
              </w:rPr>
            </w:pPr>
            <w:r w:rsidRPr="001731CE">
              <w:rPr>
                <w:rFonts w:ascii="Times New Roman" w:hAnsi="Times New Roman"/>
              </w:rPr>
              <w:t>2</w:t>
            </w:r>
          </w:p>
        </w:tc>
        <w:tc>
          <w:tcPr>
            <w:tcW w:w="6840" w:type="dxa"/>
            <w:shd w:val="clear" w:color="auto" w:fill="auto"/>
          </w:tcPr>
          <w:p w14:paraId="7F57F37A" w14:textId="77777777" w:rsidR="00F557E8" w:rsidRPr="001731CE" w:rsidRDefault="00F557E8" w:rsidP="00AA4E74">
            <w:pPr>
              <w:pStyle w:val="NoSpacing"/>
              <w:shd w:val="clear" w:color="auto" w:fill="FFFFFF"/>
              <w:rPr>
                <w:rFonts w:ascii="Times New Roman" w:hAnsi="Times New Roman"/>
                <w:color w:val="000000"/>
              </w:rPr>
            </w:pPr>
            <w:r w:rsidRPr="001731CE">
              <w:rPr>
                <w:rFonts w:ascii="Times New Roman" w:hAnsi="Times New Roman"/>
                <w:b/>
              </w:rPr>
              <w:t>Marine protected areas</w:t>
            </w:r>
            <w:r w:rsidRPr="001731CE">
              <w:rPr>
                <w:rFonts w:ascii="Times New Roman" w:hAnsi="Times New Roman"/>
              </w:rPr>
              <w:t xml:space="preserve"> created or under improved management for conservation and sustainable use</w:t>
            </w:r>
            <w:r w:rsidR="0092560C" w:rsidRPr="001731CE">
              <w:rPr>
                <w:rFonts w:ascii="Times New Roman" w:hAnsi="Times New Roman"/>
              </w:rPr>
              <w:t xml:space="preserve"> (</w:t>
            </w:r>
            <w:r w:rsidR="0092560C" w:rsidRPr="001731CE">
              <w:rPr>
                <w:rFonts w:ascii="Times New Roman" w:hAnsi="Times New Roman"/>
                <w:color w:val="000000"/>
              </w:rPr>
              <w:t>Million Hectares)</w:t>
            </w:r>
          </w:p>
        </w:tc>
        <w:tc>
          <w:tcPr>
            <w:tcW w:w="2425" w:type="dxa"/>
            <w:shd w:val="clear" w:color="auto" w:fill="auto"/>
          </w:tcPr>
          <w:p w14:paraId="6C249810" w14:textId="77777777" w:rsidR="00F557E8" w:rsidRPr="001731CE" w:rsidRDefault="00F557E8" w:rsidP="00AA4E74">
            <w:pPr>
              <w:shd w:val="clear" w:color="auto" w:fill="FFFFFF"/>
              <w:jc w:val="center"/>
              <w:rPr>
                <w:color w:val="000000"/>
                <w:sz w:val="22"/>
                <w:szCs w:val="22"/>
              </w:rPr>
            </w:pPr>
          </w:p>
          <w:p w14:paraId="52EA8AAF" w14:textId="77777777" w:rsidR="00F557E8" w:rsidRPr="001731CE" w:rsidRDefault="00F557E8" w:rsidP="00AA4E74">
            <w:pPr>
              <w:shd w:val="clear" w:color="auto" w:fill="FFFFFF"/>
              <w:jc w:val="center"/>
              <w:rPr>
                <w:color w:val="000000"/>
                <w:sz w:val="22"/>
                <w:szCs w:val="22"/>
              </w:rPr>
            </w:pPr>
          </w:p>
        </w:tc>
      </w:tr>
      <w:tr w:rsidR="00F557E8" w:rsidRPr="001731CE" w14:paraId="66E77815" w14:textId="77777777" w:rsidTr="00D85FBF">
        <w:trPr>
          <w:trHeight w:val="179"/>
        </w:trPr>
        <w:tc>
          <w:tcPr>
            <w:tcW w:w="697" w:type="dxa"/>
          </w:tcPr>
          <w:p w14:paraId="7CBBBA17" w14:textId="77777777" w:rsidR="00F557E8" w:rsidRPr="001731CE" w:rsidRDefault="00F557E8" w:rsidP="00AA4E74">
            <w:pPr>
              <w:pStyle w:val="NoSpacing"/>
              <w:shd w:val="clear" w:color="auto" w:fill="FFFFFF"/>
              <w:jc w:val="center"/>
              <w:rPr>
                <w:rFonts w:ascii="Times New Roman" w:hAnsi="Times New Roman"/>
              </w:rPr>
            </w:pPr>
            <w:r w:rsidRPr="001731CE">
              <w:rPr>
                <w:rFonts w:ascii="Times New Roman" w:hAnsi="Times New Roman"/>
              </w:rPr>
              <w:t>3</w:t>
            </w:r>
          </w:p>
        </w:tc>
        <w:tc>
          <w:tcPr>
            <w:tcW w:w="6840" w:type="dxa"/>
            <w:shd w:val="clear" w:color="auto" w:fill="auto"/>
          </w:tcPr>
          <w:p w14:paraId="48DF0741" w14:textId="77777777" w:rsidR="00F557E8" w:rsidRPr="001731CE" w:rsidRDefault="00F557E8" w:rsidP="00AA4E74">
            <w:pPr>
              <w:pStyle w:val="NoSpacing"/>
              <w:shd w:val="clear" w:color="auto" w:fill="FFFFFF"/>
              <w:rPr>
                <w:rFonts w:ascii="Times New Roman" w:hAnsi="Times New Roman"/>
                <w:color w:val="000000"/>
              </w:rPr>
            </w:pPr>
            <w:r w:rsidRPr="001731CE">
              <w:rPr>
                <w:rFonts w:ascii="Times New Roman" w:hAnsi="Times New Roman"/>
              </w:rPr>
              <w:t xml:space="preserve">Area of </w:t>
            </w:r>
            <w:r w:rsidRPr="001731CE">
              <w:rPr>
                <w:rFonts w:ascii="Times New Roman" w:hAnsi="Times New Roman"/>
                <w:b/>
              </w:rPr>
              <w:t>land restored</w:t>
            </w:r>
            <w:r w:rsidR="0092560C" w:rsidRPr="001731CE">
              <w:rPr>
                <w:rFonts w:ascii="Times New Roman" w:hAnsi="Times New Roman"/>
                <w:b/>
              </w:rPr>
              <w:t xml:space="preserve"> (</w:t>
            </w:r>
            <w:r w:rsidR="0092560C" w:rsidRPr="001731CE">
              <w:rPr>
                <w:rFonts w:ascii="Times New Roman" w:hAnsi="Times New Roman"/>
                <w:color w:val="000000"/>
              </w:rPr>
              <w:t>Million Hectares)</w:t>
            </w:r>
          </w:p>
        </w:tc>
        <w:tc>
          <w:tcPr>
            <w:tcW w:w="2425" w:type="dxa"/>
            <w:shd w:val="clear" w:color="auto" w:fill="auto"/>
          </w:tcPr>
          <w:p w14:paraId="2F262F0B" w14:textId="77777777" w:rsidR="00F557E8" w:rsidRPr="001731CE" w:rsidRDefault="00F557E8" w:rsidP="00AA4E74">
            <w:pPr>
              <w:shd w:val="clear" w:color="auto" w:fill="FFFFFF"/>
              <w:jc w:val="center"/>
              <w:rPr>
                <w:color w:val="000000"/>
                <w:sz w:val="22"/>
                <w:szCs w:val="22"/>
              </w:rPr>
            </w:pPr>
          </w:p>
        </w:tc>
      </w:tr>
      <w:tr w:rsidR="00F557E8" w:rsidRPr="001731CE" w14:paraId="5E6CBF85" w14:textId="77777777" w:rsidTr="00D85FBF">
        <w:trPr>
          <w:trHeight w:val="449"/>
        </w:trPr>
        <w:tc>
          <w:tcPr>
            <w:tcW w:w="697" w:type="dxa"/>
          </w:tcPr>
          <w:p w14:paraId="58F6BB95" w14:textId="77777777" w:rsidR="00F557E8" w:rsidRPr="001731CE" w:rsidRDefault="00F557E8" w:rsidP="00AA4E74">
            <w:pPr>
              <w:pStyle w:val="NoSpacing"/>
              <w:shd w:val="clear" w:color="auto" w:fill="FFFFFF"/>
              <w:jc w:val="center"/>
              <w:rPr>
                <w:rFonts w:ascii="Times New Roman" w:hAnsi="Times New Roman"/>
              </w:rPr>
            </w:pPr>
            <w:r w:rsidRPr="001731CE">
              <w:rPr>
                <w:rFonts w:ascii="Times New Roman" w:hAnsi="Times New Roman"/>
              </w:rPr>
              <w:t>4</w:t>
            </w:r>
          </w:p>
        </w:tc>
        <w:tc>
          <w:tcPr>
            <w:tcW w:w="6840" w:type="dxa"/>
            <w:shd w:val="clear" w:color="auto" w:fill="auto"/>
          </w:tcPr>
          <w:p w14:paraId="0C8729EF" w14:textId="77777777" w:rsidR="00F557E8" w:rsidRPr="001731CE" w:rsidRDefault="00F557E8" w:rsidP="00AA4E74">
            <w:pPr>
              <w:pStyle w:val="NoSpacing"/>
              <w:shd w:val="clear" w:color="auto" w:fill="FFFFFF"/>
              <w:rPr>
                <w:rFonts w:ascii="Times New Roman" w:hAnsi="Times New Roman"/>
                <w:color w:val="000000"/>
              </w:rPr>
            </w:pPr>
            <w:r w:rsidRPr="001731CE">
              <w:rPr>
                <w:rFonts w:ascii="Times New Roman" w:hAnsi="Times New Roman"/>
              </w:rPr>
              <w:t xml:space="preserve">Area of </w:t>
            </w:r>
            <w:r w:rsidRPr="001731CE">
              <w:rPr>
                <w:rFonts w:ascii="Times New Roman" w:hAnsi="Times New Roman"/>
                <w:b/>
              </w:rPr>
              <w:t>landscapes under improved practices</w:t>
            </w:r>
            <w:r w:rsidRPr="001731CE">
              <w:rPr>
                <w:rFonts w:ascii="Times New Roman" w:hAnsi="Times New Roman"/>
              </w:rPr>
              <w:t xml:space="preserve"> (excluding protected areas)</w:t>
            </w:r>
            <w:r w:rsidR="0092560C" w:rsidRPr="001731CE">
              <w:rPr>
                <w:rFonts w:ascii="Times New Roman" w:hAnsi="Times New Roman"/>
              </w:rPr>
              <w:t>(</w:t>
            </w:r>
            <w:r w:rsidR="0092560C" w:rsidRPr="001731CE">
              <w:rPr>
                <w:rFonts w:ascii="Times New Roman" w:hAnsi="Times New Roman"/>
                <w:color w:val="000000"/>
              </w:rPr>
              <w:t>Million Hectares)</w:t>
            </w:r>
          </w:p>
        </w:tc>
        <w:tc>
          <w:tcPr>
            <w:tcW w:w="2425" w:type="dxa"/>
            <w:shd w:val="clear" w:color="auto" w:fill="auto"/>
          </w:tcPr>
          <w:p w14:paraId="38607165" w14:textId="77777777" w:rsidR="00F557E8" w:rsidRPr="001731CE" w:rsidRDefault="00F557E8" w:rsidP="00AA4E74">
            <w:pPr>
              <w:shd w:val="clear" w:color="auto" w:fill="FFFFFF"/>
              <w:jc w:val="center"/>
              <w:rPr>
                <w:color w:val="000000"/>
                <w:sz w:val="22"/>
                <w:szCs w:val="22"/>
              </w:rPr>
            </w:pPr>
          </w:p>
          <w:p w14:paraId="66EAF2AD" w14:textId="77777777" w:rsidR="00F557E8" w:rsidRPr="001731CE" w:rsidRDefault="00F557E8" w:rsidP="00AA4E74">
            <w:pPr>
              <w:shd w:val="clear" w:color="auto" w:fill="FFFFFF"/>
              <w:jc w:val="center"/>
              <w:rPr>
                <w:color w:val="000000"/>
                <w:sz w:val="22"/>
                <w:szCs w:val="22"/>
              </w:rPr>
            </w:pPr>
          </w:p>
        </w:tc>
      </w:tr>
      <w:tr w:rsidR="00F557E8" w:rsidRPr="001731CE" w14:paraId="008DF173" w14:textId="77777777" w:rsidTr="00D85FBF">
        <w:trPr>
          <w:trHeight w:val="476"/>
        </w:trPr>
        <w:tc>
          <w:tcPr>
            <w:tcW w:w="697" w:type="dxa"/>
          </w:tcPr>
          <w:p w14:paraId="0CFC4802" w14:textId="77777777" w:rsidR="00F557E8" w:rsidRPr="001731CE" w:rsidRDefault="00F557E8" w:rsidP="00AA4E74">
            <w:pPr>
              <w:pStyle w:val="NoSpacing"/>
              <w:shd w:val="clear" w:color="auto" w:fill="FFFFFF"/>
              <w:jc w:val="center"/>
              <w:rPr>
                <w:rFonts w:ascii="Times New Roman" w:hAnsi="Times New Roman"/>
              </w:rPr>
            </w:pPr>
            <w:r w:rsidRPr="001731CE">
              <w:rPr>
                <w:rFonts w:ascii="Times New Roman" w:hAnsi="Times New Roman"/>
              </w:rPr>
              <w:t>5</w:t>
            </w:r>
          </w:p>
        </w:tc>
        <w:tc>
          <w:tcPr>
            <w:tcW w:w="6840" w:type="dxa"/>
            <w:shd w:val="clear" w:color="auto" w:fill="auto"/>
          </w:tcPr>
          <w:p w14:paraId="45631D6A" w14:textId="77777777" w:rsidR="00F557E8" w:rsidRPr="001731CE" w:rsidRDefault="00F557E8" w:rsidP="00AA4E74">
            <w:pPr>
              <w:pStyle w:val="NoSpacing"/>
              <w:shd w:val="clear" w:color="auto" w:fill="FFFFFF"/>
              <w:rPr>
                <w:rFonts w:ascii="Times New Roman" w:hAnsi="Times New Roman"/>
                <w:color w:val="000000"/>
              </w:rPr>
            </w:pPr>
            <w:r w:rsidRPr="001731CE">
              <w:rPr>
                <w:rFonts w:ascii="Times New Roman" w:hAnsi="Times New Roman"/>
              </w:rPr>
              <w:t xml:space="preserve">Area of </w:t>
            </w:r>
            <w:r w:rsidRPr="001731CE">
              <w:rPr>
                <w:rFonts w:ascii="Times New Roman" w:hAnsi="Times New Roman"/>
                <w:b/>
              </w:rPr>
              <w:t>marine habitat under improved practices</w:t>
            </w:r>
            <w:r w:rsidRPr="001731CE">
              <w:rPr>
                <w:rFonts w:ascii="Times New Roman" w:hAnsi="Times New Roman"/>
              </w:rPr>
              <w:t xml:space="preserve"> (excluding protected areas) </w:t>
            </w:r>
            <w:r w:rsidR="0092560C" w:rsidRPr="001731CE">
              <w:rPr>
                <w:rFonts w:ascii="Times New Roman" w:hAnsi="Times New Roman"/>
              </w:rPr>
              <w:t>(</w:t>
            </w:r>
            <w:r w:rsidR="0092560C" w:rsidRPr="001731CE">
              <w:rPr>
                <w:rFonts w:ascii="Times New Roman" w:hAnsi="Times New Roman"/>
                <w:color w:val="000000"/>
              </w:rPr>
              <w:t>Million Hectares)</w:t>
            </w:r>
          </w:p>
        </w:tc>
        <w:tc>
          <w:tcPr>
            <w:tcW w:w="2425" w:type="dxa"/>
            <w:shd w:val="clear" w:color="auto" w:fill="auto"/>
          </w:tcPr>
          <w:p w14:paraId="066C3730" w14:textId="77777777" w:rsidR="00F557E8" w:rsidRPr="001731CE" w:rsidRDefault="00F557E8" w:rsidP="00AA4E74">
            <w:pPr>
              <w:shd w:val="clear" w:color="auto" w:fill="FFFFFF"/>
              <w:jc w:val="center"/>
              <w:rPr>
                <w:color w:val="000000"/>
                <w:sz w:val="22"/>
                <w:szCs w:val="22"/>
              </w:rPr>
            </w:pPr>
          </w:p>
        </w:tc>
      </w:tr>
      <w:tr w:rsidR="00F557E8" w:rsidRPr="001731CE" w14:paraId="1C3BEB5F" w14:textId="77777777" w:rsidTr="00D85FBF">
        <w:trPr>
          <w:trHeight w:val="143"/>
        </w:trPr>
        <w:tc>
          <w:tcPr>
            <w:tcW w:w="697" w:type="dxa"/>
          </w:tcPr>
          <w:p w14:paraId="6074876A" w14:textId="77777777" w:rsidR="00F557E8" w:rsidRPr="001731CE" w:rsidRDefault="00F557E8" w:rsidP="00AA4E74">
            <w:pPr>
              <w:pStyle w:val="NoSpacing"/>
              <w:shd w:val="clear" w:color="auto" w:fill="FFFFFF"/>
              <w:jc w:val="center"/>
              <w:rPr>
                <w:rFonts w:ascii="Times New Roman" w:hAnsi="Times New Roman"/>
              </w:rPr>
            </w:pPr>
          </w:p>
        </w:tc>
        <w:tc>
          <w:tcPr>
            <w:tcW w:w="6840" w:type="dxa"/>
            <w:shd w:val="clear" w:color="auto" w:fill="auto"/>
          </w:tcPr>
          <w:p w14:paraId="717BE804" w14:textId="77777777" w:rsidR="00F557E8" w:rsidRPr="001731CE" w:rsidRDefault="00F557E8" w:rsidP="00AA4E74">
            <w:pPr>
              <w:pStyle w:val="NoSpacing"/>
              <w:shd w:val="clear" w:color="auto" w:fill="FFFFFF"/>
              <w:rPr>
                <w:rFonts w:ascii="Times New Roman" w:hAnsi="Times New Roman"/>
              </w:rPr>
            </w:pPr>
            <w:r w:rsidRPr="001731CE">
              <w:rPr>
                <w:rFonts w:ascii="Times New Roman" w:hAnsi="Times New Roman"/>
              </w:rPr>
              <w:t>Total area under improved management</w:t>
            </w:r>
            <w:r w:rsidR="0092560C" w:rsidRPr="001731CE">
              <w:rPr>
                <w:rFonts w:ascii="Times New Roman" w:hAnsi="Times New Roman"/>
              </w:rPr>
              <w:t xml:space="preserve"> (</w:t>
            </w:r>
            <w:r w:rsidR="0092560C" w:rsidRPr="001731CE">
              <w:rPr>
                <w:rFonts w:ascii="Times New Roman" w:hAnsi="Times New Roman"/>
                <w:color w:val="000000"/>
              </w:rPr>
              <w:t>Million Hectares)</w:t>
            </w:r>
          </w:p>
        </w:tc>
        <w:tc>
          <w:tcPr>
            <w:tcW w:w="2425" w:type="dxa"/>
            <w:shd w:val="clear" w:color="auto" w:fill="auto"/>
          </w:tcPr>
          <w:p w14:paraId="3980C615" w14:textId="77777777" w:rsidR="00F557E8" w:rsidRPr="001731CE" w:rsidRDefault="00F557E8" w:rsidP="00AA4E74">
            <w:pPr>
              <w:shd w:val="clear" w:color="auto" w:fill="FFFFFF"/>
              <w:jc w:val="center"/>
              <w:rPr>
                <w:color w:val="000000"/>
                <w:sz w:val="22"/>
                <w:szCs w:val="22"/>
              </w:rPr>
            </w:pPr>
          </w:p>
        </w:tc>
      </w:tr>
      <w:tr w:rsidR="00F557E8" w:rsidRPr="001731CE" w14:paraId="3B34E756" w14:textId="77777777" w:rsidTr="00D85FBF">
        <w:trPr>
          <w:trHeight w:val="233"/>
        </w:trPr>
        <w:tc>
          <w:tcPr>
            <w:tcW w:w="697" w:type="dxa"/>
          </w:tcPr>
          <w:p w14:paraId="41C169E3" w14:textId="77777777" w:rsidR="00F557E8" w:rsidRPr="001731CE" w:rsidRDefault="00F557E8" w:rsidP="00AA4E74">
            <w:pPr>
              <w:pStyle w:val="NoSpacing"/>
              <w:shd w:val="clear" w:color="auto" w:fill="FFFFFF"/>
              <w:jc w:val="center"/>
              <w:rPr>
                <w:rFonts w:ascii="Times New Roman" w:hAnsi="Times New Roman"/>
              </w:rPr>
            </w:pPr>
            <w:r w:rsidRPr="001731CE">
              <w:rPr>
                <w:rFonts w:ascii="Times New Roman" w:hAnsi="Times New Roman"/>
              </w:rPr>
              <w:t>6</w:t>
            </w:r>
          </w:p>
        </w:tc>
        <w:tc>
          <w:tcPr>
            <w:tcW w:w="6840" w:type="dxa"/>
            <w:shd w:val="clear" w:color="auto" w:fill="auto"/>
          </w:tcPr>
          <w:p w14:paraId="34080328" w14:textId="77777777" w:rsidR="00F557E8" w:rsidRPr="001731CE" w:rsidRDefault="00F557E8" w:rsidP="00AA4E74">
            <w:pPr>
              <w:pStyle w:val="NoSpacing"/>
              <w:shd w:val="clear" w:color="auto" w:fill="FFFFFF"/>
              <w:rPr>
                <w:rFonts w:ascii="Times New Roman" w:hAnsi="Times New Roman"/>
                <w:color w:val="000000"/>
              </w:rPr>
            </w:pPr>
            <w:r w:rsidRPr="001731CE">
              <w:rPr>
                <w:rFonts w:ascii="Times New Roman" w:hAnsi="Times New Roman"/>
                <w:b/>
              </w:rPr>
              <w:t>Greenhouse Gas Emissions Mitigated</w:t>
            </w:r>
            <w:r w:rsidRPr="001731CE">
              <w:rPr>
                <w:rFonts w:ascii="Times New Roman" w:hAnsi="Times New Roman"/>
              </w:rPr>
              <w:t xml:space="preserve"> (million </w:t>
            </w:r>
            <w:r w:rsidR="00431D25" w:rsidRPr="001731CE">
              <w:rPr>
                <w:rFonts w:ascii="Times New Roman" w:hAnsi="Times New Roman"/>
              </w:rPr>
              <w:t xml:space="preserve">metric </w:t>
            </w:r>
            <w:r w:rsidRPr="001731CE">
              <w:rPr>
                <w:rFonts w:ascii="Times New Roman" w:hAnsi="Times New Roman"/>
              </w:rPr>
              <w:t xml:space="preserve">tons of CO2e)  </w:t>
            </w:r>
          </w:p>
        </w:tc>
        <w:tc>
          <w:tcPr>
            <w:tcW w:w="2425" w:type="dxa"/>
            <w:shd w:val="clear" w:color="auto" w:fill="auto"/>
          </w:tcPr>
          <w:p w14:paraId="326DD945" w14:textId="77777777" w:rsidR="00F557E8" w:rsidRPr="001731CE" w:rsidRDefault="00F557E8" w:rsidP="00AA4E74">
            <w:pPr>
              <w:shd w:val="clear" w:color="auto" w:fill="FFFFFF"/>
              <w:jc w:val="center"/>
              <w:rPr>
                <w:color w:val="000000"/>
                <w:sz w:val="22"/>
                <w:szCs w:val="22"/>
              </w:rPr>
            </w:pPr>
          </w:p>
        </w:tc>
      </w:tr>
      <w:tr w:rsidR="00F557E8" w:rsidRPr="001731CE" w14:paraId="14C494DA" w14:textId="77777777" w:rsidTr="00D85FBF">
        <w:tc>
          <w:tcPr>
            <w:tcW w:w="697" w:type="dxa"/>
          </w:tcPr>
          <w:p w14:paraId="779B9BB7" w14:textId="77777777" w:rsidR="00F557E8" w:rsidRPr="001731CE" w:rsidRDefault="00F557E8" w:rsidP="00AA4E74">
            <w:pPr>
              <w:pStyle w:val="NoSpacing"/>
              <w:shd w:val="clear" w:color="auto" w:fill="FFFFFF"/>
              <w:jc w:val="center"/>
              <w:rPr>
                <w:rFonts w:ascii="Times New Roman" w:hAnsi="Times New Roman"/>
              </w:rPr>
            </w:pPr>
            <w:r w:rsidRPr="001731CE">
              <w:rPr>
                <w:rFonts w:ascii="Times New Roman" w:hAnsi="Times New Roman"/>
              </w:rPr>
              <w:t>7</w:t>
            </w:r>
          </w:p>
        </w:tc>
        <w:tc>
          <w:tcPr>
            <w:tcW w:w="6840" w:type="dxa"/>
            <w:shd w:val="clear" w:color="auto" w:fill="auto"/>
          </w:tcPr>
          <w:p w14:paraId="27B1B4A4" w14:textId="77777777" w:rsidR="00F557E8" w:rsidRPr="001731CE" w:rsidRDefault="00F557E8" w:rsidP="00AA4E74">
            <w:pPr>
              <w:pStyle w:val="NoSpacing"/>
              <w:shd w:val="clear" w:color="auto" w:fill="FFFFFF"/>
              <w:rPr>
                <w:rFonts w:ascii="Times New Roman" w:hAnsi="Times New Roman"/>
                <w:color w:val="000000"/>
              </w:rPr>
            </w:pPr>
            <w:r w:rsidRPr="001731CE">
              <w:rPr>
                <w:rFonts w:ascii="Times New Roman" w:hAnsi="Times New Roman"/>
                <w:b/>
              </w:rPr>
              <w:t>Number of shared water ecosystems</w:t>
            </w:r>
            <w:r w:rsidRPr="001731CE">
              <w:rPr>
                <w:rFonts w:ascii="Times New Roman" w:hAnsi="Times New Roman"/>
              </w:rPr>
              <w:t xml:space="preserve"> (fresh or marine) under new or improved cooperative management</w:t>
            </w:r>
          </w:p>
        </w:tc>
        <w:tc>
          <w:tcPr>
            <w:tcW w:w="2425" w:type="dxa"/>
            <w:shd w:val="clear" w:color="auto" w:fill="auto"/>
          </w:tcPr>
          <w:p w14:paraId="676BC67A" w14:textId="77777777" w:rsidR="00F557E8" w:rsidRPr="001731CE" w:rsidRDefault="00F557E8" w:rsidP="00AA4E74">
            <w:pPr>
              <w:shd w:val="clear" w:color="auto" w:fill="FFFFFF"/>
              <w:jc w:val="center"/>
              <w:rPr>
                <w:color w:val="000000"/>
                <w:sz w:val="22"/>
                <w:szCs w:val="22"/>
              </w:rPr>
            </w:pPr>
          </w:p>
          <w:p w14:paraId="2CAA1A6D" w14:textId="77777777" w:rsidR="00F557E8" w:rsidRPr="001731CE" w:rsidRDefault="00F557E8" w:rsidP="00AA4E74">
            <w:pPr>
              <w:shd w:val="clear" w:color="auto" w:fill="FFFFFF"/>
              <w:jc w:val="center"/>
              <w:rPr>
                <w:color w:val="000000"/>
                <w:sz w:val="22"/>
                <w:szCs w:val="22"/>
              </w:rPr>
            </w:pPr>
          </w:p>
        </w:tc>
      </w:tr>
      <w:tr w:rsidR="00F557E8" w:rsidRPr="001731CE" w14:paraId="3E42D525" w14:textId="77777777" w:rsidTr="00D85FBF">
        <w:tc>
          <w:tcPr>
            <w:tcW w:w="697" w:type="dxa"/>
          </w:tcPr>
          <w:p w14:paraId="548F2D16" w14:textId="77777777" w:rsidR="00F557E8" w:rsidRPr="001731CE" w:rsidRDefault="00F557E8" w:rsidP="00AA4E74">
            <w:pPr>
              <w:shd w:val="clear" w:color="auto" w:fill="FFFFFF"/>
              <w:jc w:val="center"/>
              <w:rPr>
                <w:sz w:val="22"/>
                <w:szCs w:val="22"/>
              </w:rPr>
            </w:pPr>
            <w:r w:rsidRPr="001731CE">
              <w:rPr>
                <w:sz w:val="22"/>
                <w:szCs w:val="22"/>
              </w:rPr>
              <w:t>8</w:t>
            </w:r>
          </w:p>
        </w:tc>
        <w:tc>
          <w:tcPr>
            <w:tcW w:w="6840" w:type="dxa"/>
            <w:shd w:val="clear" w:color="auto" w:fill="auto"/>
          </w:tcPr>
          <w:p w14:paraId="13C1802F" w14:textId="77777777" w:rsidR="00F557E8" w:rsidRPr="001731CE" w:rsidRDefault="00F557E8" w:rsidP="00AA4E74">
            <w:pPr>
              <w:shd w:val="clear" w:color="auto" w:fill="FFFFFF"/>
              <w:rPr>
                <w:color w:val="000000"/>
                <w:sz w:val="22"/>
                <w:szCs w:val="22"/>
              </w:rPr>
            </w:pPr>
            <w:r w:rsidRPr="001731CE">
              <w:rPr>
                <w:sz w:val="22"/>
                <w:szCs w:val="22"/>
              </w:rPr>
              <w:t xml:space="preserve">Globally over-exploited </w:t>
            </w:r>
            <w:r w:rsidRPr="001731CE">
              <w:rPr>
                <w:b/>
                <w:sz w:val="22"/>
                <w:szCs w:val="22"/>
              </w:rPr>
              <w:t>marine fisheries</w:t>
            </w:r>
            <w:r w:rsidRPr="001731CE">
              <w:rPr>
                <w:sz w:val="22"/>
                <w:szCs w:val="22"/>
              </w:rPr>
              <w:t xml:space="preserve"> moved to more sustainable levels (thousand metric tons)</w:t>
            </w:r>
            <w:r w:rsidR="0092560C" w:rsidRPr="001731CE">
              <w:rPr>
                <w:sz w:val="22"/>
                <w:szCs w:val="22"/>
              </w:rPr>
              <w:t>(</w:t>
            </w:r>
            <w:r w:rsidR="0092560C" w:rsidRPr="001731CE">
              <w:rPr>
                <w:color w:val="000000"/>
                <w:sz w:val="22"/>
                <w:szCs w:val="22"/>
              </w:rPr>
              <w:t>Percent of fisheries, by volume)</w:t>
            </w:r>
          </w:p>
        </w:tc>
        <w:tc>
          <w:tcPr>
            <w:tcW w:w="2425" w:type="dxa"/>
            <w:shd w:val="clear" w:color="auto" w:fill="auto"/>
          </w:tcPr>
          <w:p w14:paraId="015F40BA" w14:textId="77777777" w:rsidR="00F557E8" w:rsidRPr="001731CE" w:rsidRDefault="00F557E8" w:rsidP="00AA4E74">
            <w:pPr>
              <w:shd w:val="clear" w:color="auto" w:fill="FFFFFF"/>
              <w:jc w:val="center"/>
              <w:rPr>
                <w:color w:val="000000"/>
                <w:sz w:val="22"/>
                <w:szCs w:val="22"/>
              </w:rPr>
            </w:pPr>
          </w:p>
        </w:tc>
      </w:tr>
      <w:tr w:rsidR="00F557E8" w:rsidRPr="001731CE" w14:paraId="00F9471A" w14:textId="77777777" w:rsidTr="00D85FBF">
        <w:tc>
          <w:tcPr>
            <w:tcW w:w="697" w:type="dxa"/>
          </w:tcPr>
          <w:p w14:paraId="24F7C16A" w14:textId="77777777" w:rsidR="00F557E8" w:rsidRPr="001731CE" w:rsidRDefault="00F557E8" w:rsidP="00AA4E74">
            <w:pPr>
              <w:pStyle w:val="NoSpacing"/>
              <w:shd w:val="clear" w:color="auto" w:fill="FFFFFF"/>
              <w:jc w:val="center"/>
              <w:rPr>
                <w:rFonts w:ascii="Times New Roman" w:hAnsi="Times New Roman"/>
              </w:rPr>
            </w:pPr>
            <w:r w:rsidRPr="001731CE">
              <w:rPr>
                <w:rFonts w:ascii="Times New Roman" w:hAnsi="Times New Roman"/>
              </w:rPr>
              <w:t>9</w:t>
            </w:r>
          </w:p>
        </w:tc>
        <w:tc>
          <w:tcPr>
            <w:tcW w:w="6840" w:type="dxa"/>
            <w:shd w:val="clear" w:color="auto" w:fill="auto"/>
          </w:tcPr>
          <w:p w14:paraId="4FC3BDB3" w14:textId="77777777" w:rsidR="00F557E8" w:rsidRPr="001731CE" w:rsidRDefault="00F557E8" w:rsidP="00AA4E74">
            <w:pPr>
              <w:pStyle w:val="NoSpacing"/>
              <w:shd w:val="clear" w:color="auto" w:fill="FFFFFF"/>
              <w:rPr>
                <w:rFonts w:ascii="Times New Roman" w:hAnsi="Times New Roman"/>
                <w:color w:val="000000"/>
              </w:rPr>
            </w:pPr>
            <w:r w:rsidRPr="001731CE">
              <w:rPr>
                <w:rFonts w:ascii="Times New Roman" w:hAnsi="Times New Roman"/>
                <w:b/>
              </w:rPr>
              <w:t>Reduction</w:t>
            </w:r>
            <w:r w:rsidRPr="001731CE">
              <w:rPr>
                <w:rFonts w:ascii="Times New Roman" w:hAnsi="Times New Roman"/>
              </w:rPr>
              <w:t xml:space="preserve">, disposal/destruction, phase out, </w:t>
            </w:r>
            <w:r w:rsidRPr="001731CE">
              <w:rPr>
                <w:rFonts w:ascii="Times New Roman" w:hAnsi="Times New Roman"/>
                <w:b/>
              </w:rPr>
              <w:t>elimination</w:t>
            </w:r>
            <w:r w:rsidRPr="001731CE">
              <w:rPr>
                <w:rFonts w:ascii="Times New Roman" w:hAnsi="Times New Roman"/>
              </w:rPr>
              <w:t xml:space="preserve"> and avoidance of </w:t>
            </w:r>
            <w:r w:rsidRPr="001731CE">
              <w:rPr>
                <w:rFonts w:ascii="Times New Roman" w:hAnsi="Times New Roman"/>
                <w:b/>
              </w:rPr>
              <w:t>chemicals of global concern</w:t>
            </w:r>
            <w:r w:rsidRPr="001731CE">
              <w:rPr>
                <w:rFonts w:ascii="Times New Roman" w:hAnsi="Times New Roman"/>
              </w:rPr>
              <w:t xml:space="preserve"> and their waste in the environment and in processes, materials and products (thousand metric tons of toxic chemicals reduced)</w:t>
            </w:r>
          </w:p>
        </w:tc>
        <w:tc>
          <w:tcPr>
            <w:tcW w:w="2425" w:type="dxa"/>
            <w:shd w:val="clear" w:color="auto" w:fill="auto"/>
          </w:tcPr>
          <w:p w14:paraId="23514CBA" w14:textId="77777777" w:rsidR="00F557E8" w:rsidRPr="001731CE" w:rsidRDefault="00F557E8" w:rsidP="00AA4E74">
            <w:pPr>
              <w:shd w:val="clear" w:color="auto" w:fill="FFFFFF"/>
              <w:jc w:val="center"/>
              <w:rPr>
                <w:color w:val="000000"/>
                <w:sz w:val="22"/>
                <w:szCs w:val="22"/>
              </w:rPr>
            </w:pPr>
          </w:p>
        </w:tc>
      </w:tr>
      <w:tr w:rsidR="00F557E8" w:rsidRPr="001731CE" w14:paraId="069A4508" w14:textId="77777777" w:rsidTr="00193AEB">
        <w:trPr>
          <w:trHeight w:val="485"/>
        </w:trPr>
        <w:tc>
          <w:tcPr>
            <w:tcW w:w="697" w:type="dxa"/>
            <w:tcBorders>
              <w:bottom w:val="single" w:sz="4" w:space="0" w:color="auto"/>
            </w:tcBorders>
          </w:tcPr>
          <w:p w14:paraId="76296784" w14:textId="77777777" w:rsidR="00F557E8" w:rsidRPr="001731CE" w:rsidRDefault="00F557E8" w:rsidP="00AA4E74">
            <w:pPr>
              <w:pStyle w:val="NoSpacing"/>
              <w:shd w:val="clear" w:color="auto" w:fill="FFFFFF"/>
              <w:jc w:val="center"/>
              <w:rPr>
                <w:rFonts w:ascii="Times New Roman" w:hAnsi="Times New Roman"/>
              </w:rPr>
            </w:pPr>
            <w:r w:rsidRPr="001731CE">
              <w:rPr>
                <w:rFonts w:ascii="Times New Roman" w:hAnsi="Times New Roman"/>
              </w:rPr>
              <w:t>10</w:t>
            </w:r>
          </w:p>
        </w:tc>
        <w:tc>
          <w:tcPr>
            <w:tcW w:w="6840" w:type="dxa"/>
            <w:tcBorders>
              <w:bottom w:val="single" w:sz="4" w:space="0" w:color="auto"/>
            </w:tcBorders>
            <w:shd w:val="clear" w:color="auto" w:fill="auto"/>
          </w:tcPr>
          <w:p w14:paraId="2D752034" w14:textId="77777777" w:rsidR="00F557E8" w:rsidRPr="001731CE" w:rsidRDefault="00F557E8" w:rsidP="00AA4E74">
            <w:pPr>
              <w:pStyle w:val="NoSpacing"/>
              <w:shd w:val="clear" w:color="auto" w:fill="FFFFFF"/>
              <w:rPr>
                <w:rFonts w:ascii="Times New Roman" w:hAnsi="Times New Roman"/>
                <w:color w:val="000000"/>
              </w:rPr>
            </w:pPr>
            <w:r w:rsidRPr="001731CE">
              <w:rPr>
                <w:rFonts w:ascii="Times New Roman" w:hAnsi="Times New Roman"/>
              </w:rPr>
              <w:t xml:space="preserve">Reduction, avoidance of emissions of </w:t>
            </w:r>
            <w:r w:rsidRPr="001731CE">
              <w:rPr>
                <w:rFonts w:ascii="Times New Roman" w:hAnsi="Times New Roman"/>
                <w:b/>
              </w:rPr>
              <w:t>POPs to air</w:t>
            </w:r>
            <w:r w:rsidRPr="001731CE">
              <w:rPr>
                <w:rFonts w:ascii="Times New Roman" w:hAnsi="Times New Roman"/>
              </w:rPr>
              <w:t xml:space="preserve"> from point and non-point sources (grams of toxic equivalent </w:t>
            </w:r>
            <w:proofErr w:type="spellStart"/>
            <w:r w:rsidRPr="001731CE">
              <w:rPr>
                <w:rFonts w:ascii="Times New Roman" w:hAnsi="Times New Roman"/>
              </w:rPr>
              <w:t>gTEQ</w:t>
            </w:r>
            <w:proofErr w:type="spellEnd"/>
            <w:r w:rsidRPr="001731CE">
              <w:rPr>
                <w:rFonts w:ascii="Times New Roman" w:hAnsi="Times New Roman"/>
              </w:rPr>
              <w:t>)</w:t>
            </w:r>
          </w:p>
        </w:tc>
        <w:tc>
          <w:tcPr>
            <w:tcW w:w="2425" w:type="dxa"/>
            <w:tcBorders>
              <w:bottom w:val="single" w:sz="4" w:space="0" w:color="auto"/>
            </w:tcBorders>
            <w:shd w:val="clear" w:color="auto" w:fill="auto"/>
          </w:tcPr>
          <w:p w14:paraId="01612377" w14:textId="77777777" w:rsidR="00F557E8" w:rsidRPr="001731CE" w:rsidRDefault="00F557E8" w:rsidP="00AA4E74">
            <w:pPr>
              <w:shd w:val="clear" w:color="auto" w:fill="FFFFFF"/>
              <w:jc w:val="center"/>
              <w:rPr>
                <w:color w:val="000000"/>
                <w:sz w:val="22"/>
                <w:szCs w:val="22"/>
              </w:rPr>
            </w:pPr>
          </w:p>
        </w:tc>
      </w:tr>
      <w:tr w:rsidR="00F557E8" w:rsidRPr="001731CE" w14:paraId="4BF4DD39" w14:textId="77777777" w:rsidTr="00193AEB">
        <w:trPr>
          <w:trHeight w:val="593"/>
        </w:trPr>
        <w:tc>
          <w:tcPr>
            <w:tcW w:w="697" w:type="dxa"/>
            <w:tcBorders>
              <w:bottom w:val="single" w:sz="4" w:space="0" w:color="auto"/>
            </w:tcBorders>
          </w:tcPr>
          <w:p w14:paraId="6756EB3E" w14:textId="77777777" w:rsidR="00F557E8" w:rsidRPr="001731CE" w:rsidRDefault="00F557E8" w:rsidP="00AA4E74">
            <w:pPr>
              <w:shd w:val="clear" w:color="auto" w:fill="FFFFFF"/>
              <w:jc w:val="center"/>
              <w:rPr>
                <w:sz w:val="22"/>
                <w:szCs w:val="22"/>
              </w:rPr>
            </w:pPr>
            <w:r w:rsidRPr="001731CE">
              <w:rPr>
                <w:sz w:val="22"/>
                <w:szCs w:val="22"/>
              </w:rPr>
              <w:t>11</w:t>
            </w:r>
          </w:p>
        </w:tc>
        <w:tc>
          <w:tcPr>
            <w:tcW w:w="6840" w:type="dxa"/>
            <w:tcBorders>
              <w:bottom w:val="single" w:sz="4" w:space="0" w:color="auto"/>
            </w:tcBorders>
            <w:shd w:val="clear" w:color="auto" w:fill="auto"/>
          </w:tcPr>
          <w:p w14:paraId="0C8B9CB9" w14:textId="77777777" w:rsidR="00F557E8" w:rsidRPr="001731CE" w:rsidRDefault="00F557E8" w:rsidP="00AA4E74">
            <w:pPr>
              <w:shd w:val="clear" w:color="auto" w:fill="FFFFFF"/>
              <w:rPr>
                <w:color w:val="000000"/>
                <w:sz w:val="22"/>
                <w:szCs w:val="22"/>
              </w:rPr>
            </w:pPr>
            <w:r w:rsidRPr="001731CE">
              <w:rPr>
                <w:sz w:val="22"/>
                <w:szCs w:val="22"/>
              </w:rPr>
              <w:t xml:space="preserve">Number of </w:t>
            </w:r>
            <w:r w:rsidRPr="001731CE">
              <w:rPr>
                <w:b/>
                <w:sz w:val="22"/>
                <w:szCs w:val="22"/>
              </w:rPr>
              <w:t>direct beneficiaries disaggregated by gender</w:t>
            </w:r>
            <w:r w:rsidRPr="001731CE">
              <w:rPr>
                <w:sz w:val="22"/>
                <w:szCs w:val="22"/>
              </w:rPr>
              <w:t xml:space="preserve"> as co-benefit of GEF investment</w:t>
            </w:r>
          </w:p>
        </w:tc>
        <w:tc>
          <w:tcPr>
            <w:tcW w:w="2425" w:type="dxa"/>
            <w:tcBorders>
              <w:bottom w:val="single" w:sz="4" w:space="0" w:color="auto"/>
            </w:tcBorders>
            <w:shd w:val="clear" w:color="auto" w:fill="auto"/>
          </w:tcPr>
          <w:p w14:paraId="63082EB6" w14:textId="4B5E6175" w:rsidR="00F557E8" w:rsidRPr="001731CE" w:rsidRDefault="00CF39A6" w:rsidP="001259DC">
            <w:pPr>
              <w:shd w:val="clear" w:color="auto" w:fill="FFFFFF"/>
              <w:rPr>
                <w:color w:val="000000"/>
                <w:sz w:val="22"/>
                <w:szCs w:val="22"/>
              </w:rPr>
            </w:pPr>
            <w:r>
              <w:rPr>
                <w:color w:val="000000"/>
                <w:sz w:val="22"/>
                <w:szCs w:val="22"/>
              </w:rPr>
              <w:t>72</w:t>
            </w:r>
            <w:r w:rsidR="00262A92">
              <w:rPr>
                <w:color w:val="000000"/>
                <w:sz w:val="22"/>
                <w:szCs w:val="22"/>
              </w:rPr>
              <w:t xml:space="preserve"> men; </w:t>
            </w:r>
            <w:r>
              <w:rPr>
                <w:color w:val="000000"/>
                <w:sz w:val="22"/>
                <w:szCs w:val="22"/>
              </w:rPr>
              <w:t>48</w:t>
            </w:r>
            <w:r w:rsidR="00262A92">
              <w:rPr>
                <w:color w:val="000000"/>
                <w:sz w:val="22"/>
                <w:szCs w:val="22"/>
              </w:rPr>
              <w:t xml:space="preserve"> women</w:t>
            </w:r>
          </w:p>
        </w:tc>
      </w:tr>
    </w:tbl>
    <w:bookmarkEnd w:id="27"/>
    <w:p w14:paraId="2858C516" w14:textId="4AA11427" w:rsidR="007E5233" w:rsidRDefault="00B36487" w:rsidP="007E5233">
      <w:pPr>
        <w:pStyle w:val="GEFQuestion"/>
        <w:shd w:val="clear" w:color="auto" w:fill="FFFFFF"/>
        <w:rPr>
          <w:color w:val="000000"/>
          <w:sz w:val="20"/>
          <w:szCs w:val="20"/>
        </w:rPr>
      </w:pPr>
      <w:r w:rsidRPr="001731CE">
        <w:rPr>
          <w:color w:val="000000"/>
          <w:szCs w:val="22"/>
        </w:rPr>
        <w:t>Provide additional explanation on targets,</w:t>
      </w:r>
      <w:r w:rsidR="00E85337" w:rsidRPr="001731CE">
        <w:rPr>
          <w:color w:val="000000"/>
          <w:szCs w:val="22"/>
        </w:rPr>
        <w:t xml:space="preserve"> other </w:t>
      </w:r>
      <w:r w:rsidRPr="001731CE">
        <w:rPr>
          <w:color w:val="000000"/>
          <w:szCs w:val="22"/>
        </w:rPr>
        <w:t xml:space="preserve">methodologies used, and other focal area specifics (i.e., </w:t>
      </w:r>
      <w:r w:rsidR="00C43BAC" w:rsidRPr="001731CE">
        <w:rPr>
          <w:color w:val="000000"/>
          <w:szCs w:val="22"/>
        </w:rPr>
        <w:t>Aichi targets in BD</w:t>
      </w:r>
      <w:r w:rsidRPr="001731CE">
        <w:rPr>
          <w:color w:val="000000"/>
          <w:szCs w:val="22"/>
        </w:rPr>
        <w:t xml:space="preserve">) including justification where </w:t>
      </w:r>
      <w:r w:rsidR="0040300C" w:rsidRPr="001731CE">
        <w:rPr>
          <w:color w:val="000000"/>
          <w:szCs w:val="22"/>
        </w:rPr>
        <w:t xml:space="preserve">core indicators </w:t>
      </w:r>
      <w:r w:rsidRPr="001731CE">
        <w:rPr>
          <w:color w:val="000000"/>
          <w:szCs w:val="22"/>
        </w:rPr>
        <w:t xml:space="preserve">targets are not provided. </w:t>
      </w:r>
    </w:p>
    <w:p w14:paraId="2154B4B3" w14:textId="49A4FD03" w:rsidR="007E5233" w:rsidRDefault="007E5233" w:rsidP="007E5233"/>
    <w:p w14:paraId="598B2897" w14:textId="6B2B4393" w:rsidR="007E5233" w:rsidRPr="00262A92" w:rsidRDefault="007E5233" w:rsidP="000031E5">
      <w:pPr>
        <w:ind w:left="-709"/>
        <w:jc w:val="both"/>
        <w:rPr>
          <w:i/>
          <w:sz w:val="20"/>
          <w:szCs w:val="20"/>
        </w:rPr>
      </w:pPr>
      <w:r w:rsidRPr="00262A92">
        <w:rPr>
          <w:i/>
          <w:sz w:val="20"/>
          <w:szCs w:val="20"/>
        </w:rPr>
        <w:t xml:space="preserve">The project provides support to a range of government ministries, departments and </w:t>
      </w:r>
      <w:proofErr w:type="spellStart"/>
      <w:r w:rsidRPr="00262A92">
        <w:rPr>
          <w:i/>
          <w:sz w:val="20"/>
          <w:szCs w:val="20"/>
        </w:rPr>
        <w:t>paratatals</w:t>
      </w:r>
      <w:proofErr w:type="spellEnd"/>
      <w:r w:rsidR="00B512F6" w:rsidRPr="00262A92">
        <w:rPr>
          <w:i/>
          <w:sz w:val="20"/>
          <w:szCs w:val="20"/>
        </w:rPr>
        <w:t>, as well as the private sector and civil society, to improve the data collection process, accuracy and accessibility of the national GHG inventory of the Republic of Mauritius, in line with the objectives of the GEF Capacity Building Initiative for Transparency. Ultimate beneficiaries are the population of Mauritius (</w:t>
      </w:r>
      <w:r w:rsidR="000031E5" w:rsidRPr="00262A92">
        <w:rPr>
          <w:i/>
          <w:sz w:val="20"/>
          <w:szCs w:val="20"/>
        </w:rPr>
        <w:t xml:space="preserve">1.3 million people, </w:t>
      </w:r>
      <w:r w:rsidR="00B512F6" w:rsidRPr="00262A92">
        <w:rPr>
          <w:i/>
          <w:sz w:val="20"/>
          <w:szCs w:val="20"/>
        </w:rPr>
        <w:t>who will benefit from improved evidence-led policy-making) and the international community (w</w:t>
      </w:r>
      <w:r w:rsidR="000031E5" w:rsidRPr="00262A92">
        <w:rPr>
          <w:i/>
          <w:sz w:val="20"/>
          <w:szCs w:val="20"/>
        </w:rPr>
        <w:t>hich</w:t>
      </w:r>
      <w:r w:rsidR="00B512F6" w:rsidRPr="00262A92">
        <w:rPr>
          <w:i/>
          <w:sz w:val="20"/>
          <w:szCs w:val="20"/>
        </w:rPr>
        <w:t xml:space="preserve"> will benefit from improved GHG transparency). Direct beneficiaries – defined as those who “are aware that they are receiving GEF support and/or who use the specific resource” – can </w:t>
      </w:r>
      <w:r w:rsidR="00CF39A6">
        <w:rPr>
          <w:i/>
          <w:sz w:val="20"/>
          <w:szCs w:val="20"/>
        </w:rPr>
        <w:t xml:space="preserve">conservatively </w:t>
      </w:r>
      <w:r w:rsidR="00B512F6" w:rsidRPr="00262A92">
        <w:rPr>
          <w:i/>
          <w:sz w:val="20"/>
          <w:szCs w:val="20"/>
        </w:rPr>
        <w:t>be defined as the individuals in the participating institutions who participate in, or benefit from, project activities</w:t>
      </w:r>
      <w:r w:rsidR="00CF39A6">
        <w:rPr>
          <w:i/>
          <w:sz w:val="20"/>
          <w:szCs w:val="20"/>
        </w:rPr>
        <w:t>.</w:t>
      </w:r>
      <w:r w:rsidR="00B512F6" w:rsidRPr="00262A92">
        <w:rPr>
          <w:i/>
          <w:sz w:val="20"/>
          <w:szCs w:val="20"/>
        </w:rPr>
        <w:t xml:space="preserve"> </w:t>
      </w:r>
      <w:r w:rsidR="00627D0F">
        <w:rPr>
          <w:i/>
          <w:sz w:val="20"/>
          <w:szCs w:val="20"/>
        </w:rPr>
        <w:t xml:space="preserve">The number of participating individuals is, due to the technical and specialised nature of the project, likely to number </w:t>
      </w:r>
      <w:r w:rsidR="00CF39A6">
        <w:rPr>
          <w:i/>
          <w:sz w:val="20"/>
          <w:szCs w:val="20"/>
        </w:rPr>
        <w:t>approximately 120</w:t>
      </w:r>
      <w:r w:rsidR="00627D0F">
        <w:rPr>
          <w:i/>
          <w:sz w:val="20"/>
          <w:szCs w:val="20"/>
        </w:rPr>
        <w:t xml:space="preserve">. </w:t>
      </w:r>
      <w:r w:rsidR="00327783">
        <w:rPr>
          <w:i/>
          <w:sz w:val="20"/>
          <w:szCs w:val="20"/>
        </w:rPr>
        <w:t>M</w:t>
      </w:r>
      <w:r w:rsidR="00262A92" w:rsidRPr="00262A92">
        <w:rPr>
          <w:i/>
          <w:sz w:val="20"/>
          <w:szCs w:val="20"/>
        </w:rPr>
        <w:t xml:space="preserve">irroring the approximate gender breakdown in the </w:t>
      </w:r>
      <w:r w:rsidR="00327783">
        <w:rPr>
          <w:i/>
          <w:sz w:val="20"/>
          <w:szCs w:val="20"/>
        </w:rPr>
        <w:t xml:space="preserve">project’s </w:t>
      </w:r>
      <w:r w:rsidR="00262A92" w:rsidRPr="00262A92">
        <w:rPr>
          <w:i/>
          <w:sz w:val="20"/>
          <w:szCs w:val="20"/>
        </w:rPr>
        <w:t xml:space="preserve">co-financing institutions (approximately 60% men / 40% women), the </w:t>
      </w:r>
      <w:r w:rsidR="00CF39A6">
        <w:rPr>
          <w:i/>
          <w:sz w:val="20"/>
          <w:szCs w:val="20"/>
        </w:rPr>
        <w:t>120</w:t>
      </w:r>
      <w:r w:rsidR="00262A92" w:rsidRPr="00262A92">
        <w:rPr>
          <w:i/>
          <w:sz w:val="20"/>
          <w:szCs w:val="20"/>
        </w:rPr>
        <w:t xml:space="preserve"> direct beneficiaries are estimated to include </w:t>
      </w:r>
      <w:r w:rsidR="004203F1">
        <w:rPr>
          <w:i/>
          <w:sz w:val="20"/>
          <w:szCs w:val="20"/>
        </w:rPr>
        <w:t>~</w:t>
      </w:r>
      <w:r w:rsidR="00CF39A6">
        <w:rPr>
          <w:i/>
          <w:sz w:val="20"/>
          <w:szCs w:val="20"/>
        </w:rPr>
        <w:t>72</w:t>
      </w:r>
      <w:r w:rsidR="00262A92" w:rsidRPr="00262A92">
        <w:rPr>
          <w:i/>
          <w:sz w:val="20"/>
          <w:szCs w:val="20"/>
        </w:rPr>
        <w:t xml:space="preserve"> men and </w:t>
      </w:r>
      <w:r w:rsidR="004203F1">
        <w:rPr>
          <w:i/>
          <w:sz w:val="20"/>
          <w:szCs w:val="20"/>
        </w:rPr>
        <w:t>~</w:t>
      </w:r>
      <w:r w:rsidR="00CF39A6">
        <w:rPr>
          <w:i/>
          <w:sz w:val="20"/>
          <w:szCs w:val="20"/>
        </w:rPr>
        <w:t>48</w:t>
      </w:r>
      <w:r w:rsidR="00262A92" w:rsidRPr="00262A92">
        <w:rPr>
          <w:i/>
          <w:sz w:val="20"/>
          <w:szCs w:val="20"/>
        </w:rPr>
        <w:t xml:space="preserve"> women.</w:t>
      </w:r>
    </w:p>
    <w:p w14:paraId="063BEB9C" w14:textId="77777777" w:rsidR="007E5233" w:rsidRPr="007E5233" w:rsidRDefault="007E5233" w:rsidP="007E5233"/>
    <w:p w14:paraId="2DF6350E" w14:textId="77777777" w:rsidR="00FC2FB8" w:rsidRPr="001731CE" w:rsidRDefault="00FC2FB8" w:rsidP="00AA4E74">
      <w:pPr>
        <w:shd w:val="clear" w:color="auto" w:fill="FFFFFF"/>
        <w:ind w:left="-720"/>
      </w:pPr>
      <w:bookmarkStart w:id="28" w:name="_Hlk511815532"/>
      <w:r w:rsidRPr="001731CE">
        <w:rPr>
          <w:b/>
          <w:smallCaps/>
        </w:rPr>
        <w:t xml:space="preserve">G. </w:t>
      </w:r>
      <w:r w:rsidRPr="00C16C96">
        <w:rPr>
          <w:b/>
          <w:smallCaps/>
        </w:rPr>
        <w:t>Project Taxonomy</w:t>
      </w:r>
    </w:p>
    <w:p w14:paraId="595E2995" w14:textId="77777777" w:rsidR="008D6D5A" w:rsidRPr="001731CE" w:rsidRDefault="008D6D5A" w:rsidP="00AA4E74">
      <w:pPr>
        <w:shd w:val="clear" w:color="auto" w:fill="FFFFFF"/>
        <w:ind w:left="-720"/>
      </w:pPr>
      <w:r w:rsidRPr="001731CE">
        <w:t>Please</w:t>
      </w:r>
      <w:r w:rsidRPr="00AA4E74">
        <w:rPr>
          <w:shd w:val="clear" w:color="auto" w:fill="FFFFFF"/>
        </w:rPr>
        <w:t xml:space="preserve"> </w:t>
      </w:r>
      <w:r w:rsidR="00DF2DB3" w:rsidRPr="00AA4E74">
        <w:rPr>
          <w:shd w:val="clear" w:color="auto" w:fill="FFFFFF"/>
        </w:rPr>
        <w:t>fill in the table below for</w:t>
      </w:r>
      <w:r w:rsidRPr="00AA4E74">
        <w:rPr>
          <w:shd w:val="clear" w:color="auto" w:fill="FFFFFF"/>
        </w:rPr>
        <w:t xml:space="preserve"> th</w:t>
      </w:r>
      <w:r w:rsidRPr="001731CE">
        <w:t>e taxonomic information required</w:t>
      </w:r>
      <w:r w:rsidR="00DF2DB3" w:rsidRPr="001731CE">
        <w:t xml:space="preserve"> of this project. Use the GEF Taxonomy Worksheet provided</w:t>
      </w:r>
      <w:r w:rsidRPr="001731CE">
        <w:t xml:space="preserve"> </w:t>
      </w:r>
      <w:r w:rsidR="001E5541" w:rsidRPr="001731CE">
        <w:t xml:space="preserve">in Annex C </w:t>
      </w:r>
      <w:r w:rsidR="00DF2DB3" w:rsidRPr="001731CE">
        <w:t xml:space="preserve">to help you select </w:t>
      </w:r>
      <w:r w:rsidR="001E5541" w:rsidRPr="001731CE">
        <w:t xml:space="preserve">the most relevant </w:t>
      </w:r>
      <w:r w:rsidRPr="001731CE">
        <w:t>keywords</w:t>
      </w:r>
      <w:r w:rsidR="001E5541" w:rsidRPr="001731CE">
        <w:t>/</w:t>
      </w:r>
      <w:r w:rsidR="00943FC1" w:rsidRPr="001731CE">
        <w:t xml:space="preserve"> </w:t>
      </w:r>
      <w:r w:rsidR="001E5541" w:rsidRPr="001731CE">
        <w:t>topics/themes</w:t>
      </w:r>
      <w:r w:rsidRPr="001731CE">
        <w:t xml:space="preserve"> that best describe </w:t>
      </w:r>
      <w:r w:rsidR="001E5541" w:rsidRPr="001731CE">
        <w:t>this project.</w:t>
      </w:r>
    </w:p>
    <w:p w14:paraId="0C6E2E9F" w14:textId="77777777" w:rsidR="0045044F" w:rsidRPr="001731CE" w:rsidRDefault="0045044F" w:rsidP="00AA4E74">
      <w:pPr>
        <w:shd w:val="clear" w:color="auto" w:fill="FFFFFF"/>
        <w:ind w:left="-720"/>
      </w:pPr>
    </w:p>
    <w:tbl>
      <w:tblPr>
        <w:tblW w:w="507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4193"/>
        <w:gridCol w:w="1777"/>
        <w:gridCol w:w="1777"/>
      </w:tblGrid>
      <w:tr w:rsidR="0045044F" w:rsidRPr="001731CE" w14:paraId="49B4E8DB" w14:textId="77777777" w:rsidTr="00D85FBF">
        <w:tc>
          <w:tcPr>
            <w:tcW w:w="1538" w:type="pct"/>
            <w:shd w:val="clear" w:color="auto" w:fill="F2F2F2"/>
          </w:tcPr>
          <w:p w14:paraId="79FF360B" w14:textId="77777777" w:rsidR="0045044F" w:rsidRPr="001731CE" w:rsidRDefault="0045044F" w:rsidP="00AA4E74">
            <w:pPr>
              <w:shd w:val="clear" w:color="auto" w:fill="FFFFFF"/>
              <w:rPr>
                <w:sz w:val="20"/>
                <w:szCs w:val="20"/>
              </w:rPr>
            </w:pPr>
            <w:r w:rsidRPr="001731CE">
              <w:rPr>
                <w:sz w:val="20"/>
                <w:szCs w:val="20"/>
              </w:rPr>
              <w:t>Level 1</w:t>
            </w:r>
          </w:p>
        </w:tc>
        <w:tc>
          <w:tcPr>
            <w:tcW w:w="1232" w:type="pct"/>
            <w:shd w:val="clear" w:color="auto" w:fill="F2F2F2"/>
          </w:tcPr>
          <w:p w14:paraId="4EC92B3F" w14:textId="77777777" w:rsidR="0045044F" w:rsidRPr="001731CE" w:rsidRDefault="0045044F" w:rsidP="00AA4E74">
            <w:pPr>
              <w:shd w:val="clear" w:color="auto" w:fill="FFFFFF"/>
              <w:jc w:val="center"/>
              <w:rPr>
                <w:sz w:val="20"/>
                <w:szCs w:val="20"/>
              </w:rPr>
            </w:pPr>
            <w:r w:rsidRPr="001731CE">
              <w:rPr>
                <w:sz w:val="20"/>
                <w:szCs w:val="20"/>
              </w:rPr>
              <w:t>Level 2</w:t>
            </w:r>
          </w:p>
        </w:tc>
        <w:tc>
          <w:tcPr>
            <w:tcW w:w="1059" w:type="pct"/>
            <w:shd w:val="clear" w:color="auto" w:fill="F2F2F2"/>
          </w:tcPr>
          <w:p w14:paraId="168CF56B" w14:textId="77777777" w:rsidR="0045044F" w:rsidRPr="001731CE" w:rsidRDefault="0045044F" w:rsidP="00AA4E74">
            <w:pPr>
              <w:shd w:val="clear" w:color="auto" w:fill="FFFFFF"/>
              <w:jc w:val="center"/>
              <w:rPr>
                <w:sz w:val="20"/>
                <w:szCs w:val="20"/>
              </w:rPr>
            </w:pPr>
            <w:r w:rsidRPr="001731CE">
              <w:rPr>
                <w:sz w:val="20"/>
                <w:szCs w:val="20"/>
              </w:rPr>
              <w:t>Level 3</w:t>
            </w:r>
          </w:p>
        </w:tc>
        <w:tc>
          <w:tcPr>
            <w:tcW w:w="1171" w:type="pct"/>
            <w:shd w:val="clear" w:color="auto" w:fill="F2F2F2"/>
          </w:tcPr>
          <w:p w14:paraId="38AFC211" w14:textId="77777777" w:rsidR="0045044F" w:rsidRPr="001731CE" w:rsidRDefault="0045044F" w:rsidP="00AA4E74">
            <w:pPr>
              <w:shd w:val="clear" w:color="auto" w:fill="FFFFFF"/>
              <w:jc w:val="center"/>
              <w:rPr>
                <w:sz w:val="20"/>
                <w:szCs w:val="20"/>
              </w:rPr>
            </w:pPr>
            <w:r w:rsidRPr="001731CE">
              <w:rPr>
                <w:sz w:val="20"/>
                <w:szCs w:val="20"/>
              </w:rPr>
              <w:t>Level 4</w:t>
            </w:r>
          </w:p>
        </w:tc>
      </w:tr>
      <w:tr w:rsidR="00A313E8" w:rsidRPr="001731CE" w14:paraId="142D1FBF" w14:textId="77777777" w:rsidTr="00D85FBF">
        <w:tc>
          <w:tcPr>
            <w:tcW w:w="1538" w:type="pct"/>
            <w:shd w:val="clear" w:color="auto" w:fill="auto"/>
          </w:tcPr>
          <w:p w14:paraId="3C55FBDD" w14:textId="77777777" w:rsidR="00A313E8" w:rsidRPr="001731CE" w:rsidRDefault="00A313E8" w:rsidP="00AA4E74">
            <w:pPr>
              <w:shd w:val="clear" w:color="auto" w:fill="FFFFFF"/>
              <w:rPr>
                <w:sz w:val="20"/>
                <w:szCs w:val="20"/>
              </w:rPr>
            </w:pPr>
            <w:r w:rsidRPr="001731CE">
              <w:rPr>
                <w:sz w:val="20"/>
                <w:szCs w:val="20"/>
              </w:rPr>
              <w:t>Influencing Models</w:t>
            </w:r>
          </w:p>
        </w:tc>
        <w:tc>
          <w:tcPr>
            <w:tcW w:w="1232" w:type="pct"/>
            <w:shd w:val="clear" w:color="auto" w:fill="auto"/>
          </w:tcPr>
          <w:p w14:paraId="49AC331D" w14:textId="77777777" w:rsidR="00A313E8" w:rsidRPr="001731CE" w:rsidRDefault="00194211" w:rsidP="00AA4E74">
            <w:pPr>
              <w:shd w:val="clear" w:color="auto" w:fill="FFFFFF"/>
              <w:jc w:val="center"/>
              <w:rPr>
                <w:sz w:val="20"/>
                <w:szCs w:val="20"/>
              </w:rPr>
            </w:pPr>
            <w:r>
              <w:rPr>
                <w:color w:val="000000"/>
                <w:sz w:val="20"/>
                <w:szCs w:val="20"/>
              </w:rPr>
              <w:fldChar w:fldCharType="begin">
                <w:ffData>
                  <w:name w:val=""/>
                  <w:enabled/>
                  <w:calcOnExit w:val="0"/>
                  <w:ddList>
                    <w:listEntry w:val="Strengthen institutional capacity/decision-making"/>
                    <w:listEntry w:val="(multiple selection)"/>
                    <w:listEntry w:val="Transform policy and regulatory environments"/>
                    <w:listEntry w:val="Convene multi-stakeholder alliances"/>
                    <w:listEntry w:val="Demonstrate innovative approaches"/>
                    <w:listEntry w:val="Deploy innovative financial instruments"/>
                  </w:ddList>
                </w:ffData>
              </w:fldChar>
            </w:r>
            <w:r>
              <w:rPr>
                <w:color w:val="000000"/>
                <w:sz w:val="20"/>
                <w:szCs w:val="20"/>
              </w:rPr>
              <w:instrText xml:space="preserve"> FORMDROPDOWN </w:instrText>
            </w:r>
            <w:r w:rsidR="00A755A1">
              <w:rPr>
                <w:color w:val="000000"/>
                <w:sz w:val="20"/>
                <w:szCs w:val="20"/>
              </w:rPr>
            </w:r>
            <w:r w:rsidR="00A755A1">
              <w:rPr>
                <w:color w:val="000000"/>
                <w:sz w:val="20"/>
                <w:szCs w:val="20"/>
              </w:rPr>
              <w:fldChar w:fldCharType="separate"/>
            </w:r>
            <w:r>
              <w:rPr>
                <w:color w:val="000000"/>
                <w:sz w:val="20"/>
                <w:szCs w:val="20"/>
              </w:rPr>
              <w:fldChar w:fldCharType="end"/>
            </w:r>
          </w:p>
        </w:tc>
        <w:tc>
          <w:tcPr>
            <w:tcW w:w="1059" w:type="pct"/>
            <w:shd w:val="clear" w:color="auto" w:fill="auto"/>
          </w:tcPr>
          <w:p w14:paraId="6E31B39A" w14:textId="77777777" w:rsidR="00A313E8" w:rsidRPr="001731CE" w:rsidRDefault="00A313E8" w:rsidP="00AA4E74">
            <w:pPr>
              <w:shd w:val="clear" w:color="auto" w:fill="FFFFFF"/>
              <w:jc w:val="center"/>
              <w:rPr>
                <w:sz w:val="20"/>
                <w:szCs w:val="20"/>
              </w:rPr>
            </w:pPr>
            <w:r w:rsidRPr="001731CE">
              <w:rPr>
                <w:color w:val="000000"/>
                <w:sz w:val="20"/>
                <w:szCs w:val="20"/>
              </w:rPr>
              <w:fldChar w:fldCharType="begin">
                <w:ffData>
                  <w:name w:val=""/>
                  <w:enabled/>
                  <w:calcOnExit w:val="0"/>
                  <w:ddList>
                    <w:listEntry w:val="(multiple selection)"/>
                  </w:ddList>
                </w:ffData>
              </w:fldChar>
            </w:r>
            <w:r w:rsidRPr="001731CE">
              <w:rPr>
                <w:color w:val="000000"/>
                <w:sz w:val="20"/>
                <w:szCs w:val="20"/>
              </w:rPr>
              <w:instrText xml:space="preserve"> FORMDROPDOWN </w:instrText>
            </w:r>
            <w:r w:rsidR="00A755A1">
              <w:rPr>
                <w:color w:val="000000"/>
                <w:sz w:val="20"/>
                <w:szCs w:val="20"/>
              </w:rPr>
            </w:r>
            <w:r w:rsidR="00A755A1">
              <w:rPr>
                <w:color w:val="000000"/>
                <w:sz w:val="20"/>
                <w:szCs w:val="20"/>
              </w:rPr>
              <w:fldChar w:fldCharType="separate"/>
            </w:r>
            <w:r w:rsidRPr="001731CE">
              <w:rPr>
                <w:color w:val="000000"/>
                <w:sz w:val="20"/>
                <w:szCs w:val="20"/>
              </w:rPr>
              <w:fldChar w:fldCharType="end"/>
            </w:r>
          </w:p>
        </w:tc>
        <w:tc>
          <w:tcPr>
            <w:tcW w:w="1171" w:type="pct"/>
            <w:shd w:val="clear" w:color="auto" w:fill="auto"/>
          </w:tcPr>
          <w:p w14:paraId="03C41382" w14:textId="77777777" w:rsidR="00A313E8" w:rsidRPr="001731CE" w:rsidRDefault="00A313E8" w:rsidP="00AA4E74">
            <w:pPr>
              <w:shd w:val="clear" w:color="auto" w:fill="FFFFFF"/>
              <w:jc w:val="center"/>
              <w:rPr>
                <w:sz w:val="20"/>
                <w:szCs w:val="20"/>
              </w:rPr>
            </w:pPr>
            <w:r w:rsidRPr="001731CE">
              <w:rPr>
                <w:color w:val="000000"/>
                <w:sz w:val="20"/>
                <w:szCs w:val="20"/>
              </w:rPr>
              <w:fldChar w:fldCharType="begin">
                <w:ffData>
                  <w:name w:val=""/>
                  <w:enabled/>
                  <w:calcOnExit w:val="0"/>
                  <w:ddList>
                    <w:listEntry w:val="(multiple selection)"/>
                  </w:ddList>
                </w:ffData>
              </w:fldChar>
            </w:r>
            <w:r w:rsidRPr="001731CE">
              <w:rPr>
                <w:color w:val="000000"/>
                <w:sz w:val="20"/>
                <w:szCs w:val="20"/>
              </w:rPr>
              <w:instrText xml:space="preserve"> FORMDROPDOWN </w:instrText>
            </w:r>
            <w:r w:rsidR="00A755A1">
              <w:rPr>
                <w:color w:val="000000"/>
                <w:sz w:val="20"/>
                <w:szCs w:val="20"/>
              </w:rPr>
            </w:r>
            <w:r w:rsidR="00A755A1">
              <w:rPr>
                <w:color w:val="000000"/>
                <w:sz w:val="20"/>
                <w:szCs w:val="20"/>
              </w:rPr>
              <w:fldChar w:fldCharType="separate"/>
            </w:r>
            <w:r w:rsidRPr="001731CE">
              <w:rPr>
                <w:color w:val="000000"/>
                <w:sz w:val="20"/>
                <w:szCs w:val="20"/>
              </w:rPr>
              <w:fldChar w:fldCharType="end"/>
            </w:r>
          </w:p>
        </w:tc>
      </w:tr>
      <w:tr w:rsidR="00A313E8" w:rsidRPr="001731CE" w14:paraId="00E8421D" w14:textId="77777777" w:rsidTr="00D85FBF">
        <w:tc>
          <w:tcPr>
            <w:tcW w:w="1538" w:type="pct"/>
            <w:shd w:val="clear" w:color="auto" w:fill="auto"/>
          </w:tcPr>
          <w:p w14:paraId="22279ABC" w14:textId="77777777" w:rsidR="00A313E8" w:rsidRPr="001731CE" w:rsidRDefault="00A313E8" w:rsidP="00AA4E74">
            <w:pPr>
              <w:shd w:val="clear" w:color="auto" w:fill="FFFFFF"/>
              <w:rPr>
                <w:sz w:val="20"/>
                <w:szCs w:val="20"/>
              </w:rPr>
            </w:pPr>
            <w:r w:rsidRPr="001731CE">
              <w:rPr>
                <w:sz w:val="20"/>
                <w:szCs w:val="20"/>
              </w:rPr>
              <w:t>Stakeholders</w:t>
            </w:r>
          </w:p>
        </w:tc>
        <w:tc>
          <w:tcPr>
            <w:tcW w:w="1232" w:type="pct"/>
            <w:shd w:val="clear" w:color="auto" w:fill="auto"/>
          </w:tcPr>
          <w:p w14:paraId="23EC989E" w14:textId="77777777" w:rsidR="00A313E8" w:rsidRDefault="00C16C96" w:rsidP="00AA4E74">
            <w:pPr>
              <w:shd w:val="clear" w:color="auto" w:fill="FFFFFF"/>
              <w:jc w:val="center"/>
              <w:rPr>
                <w:color w:val="000000"/>
                <w:sz w:val="20"/>
                <w:szCs w:val="20"/>
              </w:rPr>
            </w:pPr>
            <w:r>
              <w:rPr>
                <w:color w:val="000000"/>
                <w:sz w:val="20"/>
                <w:szCs w:val="20"/>
              </w:rPr>
              <w:fldChar w:fldCharType="begin">
                <w:ffData>
                  <w:name w:val=""/>
                  <w:enabled/>
                  <w:calcOnExit w:val="0"/>
                  <w:ddList>
                    <w:listEntry w:val="Type of engagement"/>
                    <w:listEntry w:val="(multiple selection)"/>
                    <w:listEntry w:val="Indigenous peoples"/>
                    <w:listEntry w:val="Beneficiaries"/>
                    <w:listEntry w:val="Private sector"/>
                    <w:listEntry w:val="Local communities"/>
                    <w:listEntry w:val="Civil society"/>
                    <w:listEntry w:val="Knowledge and learning"/>
                    <w:listEntry w:val="Stakeholder engagement"/>
                  </w:ddList>
                </w:ffData>
              </w:fldChar>
            </w:r>
            <w:r>
              <w:rPr>
                <w:color w:val="000000"/>
                <w:sz w:val="20"/>
                <w:szCs w:val="20"/>
              </w:rPr>
              <w:instrText xml:space="preserve"> FORMDROPDOWN </w:instrText>
            </w:r>
            <w:r w:rsidR="00A755A1">
              <w:rPr>
                <w:color w:val="000000"/>
                <w:sz w:val="20"/>
                <w:szCs w:val="20"/>
              </w:rPr>
            </w:r>
            <w:r w:rsidR="00A755A1">
              <w:rPr>
                <w:color w:val="000000"/>
                <w:sz w:val="20"/>
                <w:szCs w:val="20"/>
              </w:rPr>
              <w:fldChar w:fldCharType="separate"/>
            </w:r>
            <w:r>
              <w:rPr>
                <w:color w:val="000000"/>
                <w:sz w:val="20"/>
                <w:szCs w:val="20"/>
              </w:rPr>
              <w:fldChar w:fldCharType="end"/>
            </w:r>
          </w:p>
          <w:p w14:paraId="6467E88D" w14:textId="32792168" w:rsidR="003770ED" w:rsidRPr="003770ED" w:rsidRDefault="003770ED" w:rsidP="00AA4E74">
            <w:pPr>
              <w:shd w:val="clear" w:color="auto" w:fill="FFFFFF"/>
              <w:jc w:val="center"/>
              <w:rPr>
                <w:sz w:val="20"/>
                <w:szCs w:val="20"/>
              </w:rPr>
            </w:pPr>
            <w:r w:rsidRPr="003770ED">
              <w:rPr>
                <w:bCs/>
                <w:color w:val="3D3D3D"/>
                <w:sz w:val="20"/>
                <w:szCs w:val="21"/>
                <w:shd w:val="clear" w:color="auto" w:fill="FFFFFF"/>
              </w:rPr>
              <w:t>Private Sector</w:t>
            </w:r>
          </w:p>
        </w:tc>
        <w:tc>
          <w:tcPr>
            <w:tcW w:w="1059" w:type="pct"/>
            <w:shd w:val="clear" w:color="auto" w:fill="auto"/>
          </w:tcPr>
          <w:p w14:paraId="0151434A" w14:textId="77777777" w:rsidR="00A313E8" w:rsidRPr="001731CE" w:rsidRDefault="00C16C96" w:rsidP="00AA4E74">
            <w:pPr>
              <w:shd w:val="clear" w:color="auto" w:fill="FFFFFF"/>
              <w:jc w:val="center"/>
              <w:rPr>
                <w:sz w:val="20"/>
                <w:szCs w:val="20"/>
              </w:rPr>
            </w:pPr>
            <w:r w:rsidRPr="00C16C96">
              <w:rPr>
                <w:sz w:val="20"/>
                <w:szCs w:val="20"/>
                <w:highlight w:val="lightGray"/>
              </w:rPr>
              <w:t>Participation</w:t>
            </w:r>
          </w:p>
        </w:tc>
        <w:tc>
          <w:tcPr>
            <w:tcW w:w="1171" w:type="pct"/>
            <w:shd w:val="clear" w:color="auto" w:fill="auto"/>
          </w:tcPr>
          <w:p w14:paraId="258F2E19" w14:textId="77777777" w:rsidR="00A313E8" w:rsidRPr="001731CE" w:rsidRDefault="00A313E8" w:rsidP="00AA4E74">
            <w:pPr>
              <w:shd w:val="clear" w:color="auto" w:fill="FFFFFF"/>
              <w:jc w:val="center"/>
              <w:rPr>
                <w:sz w:val="20"/>
                <w:szCs w:val="20"/>
              </w:rPr>
            </w:pPr>
            <w:r w:rsidRPr="001731CE">
              <w:rPr>
                <w:color w:val="000000"/>
                <w:sz w:val="20"/>
                <w:szCs w:val="20"/>
              </w:rPr>
              <w:fldChar w:fldCharType="begin">
                <w:ffData>
                  <w:name w:val=""/>
                  <w:enabled/>
                  <w:calcOnExit w:val="0"/>
                  <w:ddList>
                    <w:listEntry w:val="(multiple selection)"/>
                  </w:ddList>
                </w:ffData>
              </w:fldChar>
            </w:r>
            <w:r w:rsidRPr="001731CE">
              <w:rPr>
                <w:color w:val="000000"/>
                <w:sz w:val="20"/>
                <w:szCs w:val="20"/>
              </w:rPr>
              <w:instrText xml:space="preserve"> FORMDROPDOWN </w:instrText>
            </w:r>
            <w:r w:rsidR="00A755A1">
              <w:rPr>
                <w:color w:val="000000"/>
                <w:sz w:val="20"/>
                <w:szCs w:val="20"/>
              </w:rPr>
            </w:r>
            <w:r w:rsidR="00A755A1">
              <w:rPr>
                <w:color w:val="000000"/>
                <w:sz w:val="20"/>
                <w:szCs w:val="20"/>
              </w:rPr>
              <w:fldChar w:fldCharType="separate"/>
            </w:r>
            <w:r w:rsidRPr="001731CE">
              <w:rPr>
                <w:color w:val="000000"/>
                <w:sz w:val="20"/>
                <w:szCs w:val="20"/>
              </w:rPr>
              <w:fldChar w:fldCharType="end"/>
            </w:r>
          </w:p>
        </w:tc>
      </w:tr>
      <w:tr w:rsidR="00A313E8" w:rsidRPr="001731CE" w14:paraId="1B2545D9" w14:textId="77777777" w:rsidTr="00D85FBF">
        <w:tc>
          <w:tcPr>
            <w:tcW w:w="1538" w:type="pct"/>
            <w:shd w:val="clear" w:color="auto" w:fill="auto"/>
          </w:tcPr>
          <w:p w14:paraId="693D0705" w14:textId="77777777" w:rsidR="00A313E8" w:rsidRPr="001731CE" w:rsidRDefault="00A313E8" w:rsidP="00AA4E74">
            <w:pPr>
              <w:shd w:val="clear" w:color="auto" w:fill="FFFFFF"/>
              <w:rPr>
                <w:sz w:val="20"/>
                <w:szCs w:val="20"/>
              </w:rPr>
            </w:pPr>
            <w:r w:rsidRPr="001731CE">
              <w:rPr>
                <w:sz w:val="20"/>
                <w:szCs w:val="20"/>
              </w:rPr>
              <w:t>Capacity, Knowledge and Research</w:t>
            </w:r>
          </w:p>
        </w:tc>
        <w:tc>
          <w:tcPr>
            <w:tcW w:w="1232" w:type="pct"/>
            <w:shd w:val="clear" w:color="auto" w:fill="auto"/>
          </w:tcPr>
          <w:p w14:paraId="65434104" w14:textId="77777777" w:rsidR="00A313E8" w:rsidRPr="001731CE" w:rsidRDefault="00C16C96" w:rsidP="00AA4E74">
            <w:pPr>
              <w:shd w:val="clear" w:color="auto" w:fill="FFFFFF"/>
              <w:jc w:val="center"/>
              <w:rPr>
                <w:color w:val="000000"/>
                <w:sz w:val="20"/>
                <w:szCs w:val="20"/>
              </w:rPr>
            </w:pPr>
            <w:r>
              <w:rPr>
                <w:color w:val="000000"/>
                <w:sz w:val="20"/>
                <w:szCs w:val="20"/>
              </w:rPr>
              <w:fldChar w:fldCharType="begin">
                <w:ffData>
                  <w:name w:val=""/>
                  <w:enabled/>
                  <w:calcOnExit w:val="0"/>
                  <w:ddList>
                    <w:listEntry w:val="Enabling Activities"/>
                    <w:listEntry w:val="(multiple selection)"/>
                    <w:listEntry w:val="Capacity Development"/>
                    <w:listEntry w:val="Knowledge Generation and Exchange"/>
                    <w:listEntry w:val="Targeted Research"/>
                    <w:listEntry w:val="Learning"/>
                  </w:ddList>
                </w:ffData>
              </w:fldChar>
            </w:r>
            <w:r>
              <w:rPr>
                <w:color w:val="000000"/>
                <w:sz w:val="20"/>
                <w:szCs w:val="20"/>
              </w:rPr>
              <w:instrText xml:space="preserve"> FORMDROPDOWN </w:instrText>
            </w:r>
            <w:r w:rsidR="00A755A1">
              <w:rPr>
                <w:color w:val="000000"/>
                <w:sz w:val="20"/>
                <w:szCs w:val="20"/>
              </w:rPr>
            </w:r>
            <w:r w:rsidR="00A755A1">
              <w:rPr>
                <w:color w:val="000000"/>
                <w:sz w:val="20"/>
                <w:szCs w:val="20"/>
              </w:rPr>
              <w:fldChar w:fldCharType="separate"/>
            </w:r>
            <w:r>
              <w:rPr>
                <w:color w:val="000000"/>
                <w:sz w:val="20"/>
                <w:szCs w:val="20"/>
              </w:rPr>
              <w:fldChar w:fldCharType="end"/>
            </w:r>
          </w:p>
        </w:tc>
        <w:tc>
          <w:tcPr>
            <w:tcW w:w="1059" w:type="pct"/>
            <w:shd w:val="clear" w:color="auto" w:fill="auto"/>
          </w:tcPr>
          <w:p w14:paraId="60221D41" w14:textId="77777777" w:rsidR="00A313E8" w:rsidRPr="001731CE" w:rsidRDefault="00A313E8" w:rsidP="00AA4E74">
            <w:pPr>
              <w:shd w:val="clear" w:color="auto" w:fill="FFFFFF"/>
              <w:jc w:val="center"/>
              <w:rPr>
                <w:color w:val="000000"/>
                <w:sz w:val="20"/>
                <w:szCs w:val="20"/>
              </w:rPr>
            </w:pPr>
            <w:r w:rsidRPr="001731CE">
              <w:rPr>
                <w:color w:val="000000"/>
                <w:sz w:val="20"/>
                <w:szCs w:val="20"/>
              </w:rPr>
              <w:fldChar w:fldCharType="begin">
                <w:ffData>
                  <w:name w:val=""/>
                  <w:enabled/>
                  <w:calcOnExit w:val="0"/>
                  <w:ddList>
                    <w:listEntry w:val="(multiple selection)"/>
                  </w:ddList>
                </w:ffData>
              </w:fldChar>
            </w:r>
            <w:r w:rsidRPr="001731CE">
              <w:rPr>
                <w:color w:val="000000"/>
                <w:sz w:val="20"/>
                <w:szCs w:val="20"/>
              </w:rPr>
              <w:instrText xml:space="preserve"> FORMDROPDOWN </w:instrText>
            </w:r>
            <w:r w:rsidR="00A755A1">
              <w:rPr>
                <w:color w:val="000000"/>
                <w:sz w:val="20"/>
                <w:szCs w:val="20"/>
              </w:rPr>
            </w:r>
            <w:r w:rsidR="00A755A1">
              <w:rPr>
                <w:color w:val="000000"/>
                <w:sz w:val="20"/>
                <w:szCs w:val="20"/>
              </w:rPr>
              <w:fldChar w:fldCharType="separate"/>
            </w:r>
            <w:r w:rsidRPr="001731CE">
              <w:rPr>
                <w:color w:val="000000"/>
                <w:sz w:val="20"/>
                <w:szCs w:val="20"/>
              </w:rPr>
              <w:fldChar w:fldCharType="end"/>
            </w:r>
          </w:p>
        </w:tc>
        <w:tc>
          <w:tcPr>
            <w:tcW w:w="1171" w:type="pct"/>
            <w:shd w:val="clear" w:color="auto" w:fill="auto"/>
          </w:tcPr>
          <w:p w14:paraId="17C9288C" w14:textId="77777777" w:rsidR="00A313E8" w:rsidRPr="001731CE" w:rsidRDefault="00A313E8" w:rsidP="00AA4E74">
            <w:pPr>
              <w:shd w:val="clear" w:color="auto" w:fill="FFFFFF"/>
              <w:jc w:val="center"/>
              <w:rPr>
                <w:color w:val="000000"/>
                <w:sz w:val="20"/>
                <w:szCs w:val="20"/>
              </w:rPr>
            </w:pPr>
            <w:r w:rsidRPr="001731CE">
              <w:rPr>
                <w:color w:val="000000"/>
                <w:sz w:val="20"/>
                <w:szCs w:val="20"/>
              </w:rPr>
              <w:fldChar w:fldCharType="begin">
                <w:ffData>
                  <w:name w:val=""/>
                  <w:enabled/>
                  <w:calcOnExit w:val="0"/>
                  <w:ddList>
                    <w:listEntry w:val="(multiple selection)"/>
                  </w:ddList>
                </w:ffData>
              </w:fldChar>
            </w:r>
            <w:r w:rsidRPr="001731CE">
              <w:rPr>
                <w:color w:val="000000"/>
                <w:sz w:val="20"/>
                <w:szCs w:val="20"/>
              </w:rPr>
              <w:instrText xml:space="preserve"> FORMDROPDOWN </w:instrText>
            </w:r>
            <w:r w:rsidR="00A755A1">
              <w:rPr>
                <w:color w:val="000000"/>
                <w:sz w:val="20"/>
                <w:szCs w:val="20"/>
              </w:rPr>
            </w:r>
            <w:r w:rsidR="00A755A1">
              <w:rPr>
                <w:color w:val="000000"/>
                <w:sz w:val="20"/>
                <w:szCs w:val="20"/>
              </w:rPr>
              <w:fldChar w:fldCharType="separate"/>
            </w:r>
            <w:r w:rsidRPr="001731CE">
              <w:rPr>
                <w:color w:val="000000"/>
                <w:sz w:val="20"/>
                <w:szCs w:val="20"/>
              </w:rPr>
              <w:fldChar w:fldCharType="end"/>
            </w:r>
          </w:p>
        </w:tc>
      </w:tr>
      <w:tr w:rsidR="00A313E8" w:rsidRPr="001731CE" w14:paraId="21DA9B56" w14:textId="77777777" w:rsidTr="00D85FBF">
        <w:tc>
          <w:tcPr>
            <w:tcW w:w="1538" w:type="pct"/>
            <w:shd w:val="clear" w:color="auto" w:fill="auto"/>
          </w:tcPr>
          <w:p w14:paraId="7FF55824" w14:textId="77777777" w:rsidR="00A313E8" w:rsidRPr="001731CE" w:rsidRDefault="00A313E8" w:rsidP="00AA4E74">
            <w:pPr>
              <w:shd w:val="clear" w:color="auto" w:fill="FFFFFF"/>
              <w:rPr>
                <w:sz w:val="20"/>
                <w:szCs w:val="20"/>
              </w:rPr>
            </w:pPr>
            <w:r w:rsidRPr="001731CE">
              <w:rPr>
                <w:sz w:val="20"/>
                <w:szCs w:val="20"/>
              </w:rPr>
              <w:lastRenderedPageBreak/>
              <w:t>Gender Equality</w:t>
            </w:r>
          </w:p>
        </w:tc>
        <w:tc>
          <w:tcPr>
            <w:tcW w:w="1232" w:type="pct"/>
            <w:shd w:val="clear" w:color="auto" w:fill="auto"/>
          </w:tcPr>
          <w:p w14:paraId="024353C5" w14:textId="77777777" w:rsidR="00A313E8" w:rsidRPr="001731CE" w:rsidRDefault="00C16C96" w:rsidP="00AA4E74">
            <w:pPr>
              <w:shd w:val="clear" w:color="auto" w:fill="FFFFFF"/>
              <w:jc w:val="center"/>
              <w:rPr>
                <w:sz w:val="20"/>
                <w:szCs w:val="20"/>
              </w:rPr>
            </w:pPr>
            <w:r>
              <w:rPr>
                <w:color w:val="000000"/>
                <w:sz w:val="20"/>
                <w:szCs w:val="20"/>
              </w:rPr>
              <w:fldChar w:fldCharType="begin">
                <w:ffData>
                  <w:name w:val=""/>
                  <w:enabled/>
                  <w:calcOnExit w:val="0"/>
                  <w:ddList>
                    <w:listEntry w:val="Gender mainstreaming"/>
                    <w:listEntry w:val="(multiple selection)"/>
                    <w:listEntry w:val="Gender results areas"/>
                  </w:ddList>
                </w:ffData>
              </w:fldChar>
            </w:r>
            <w:r>
              <w:rPr>
                <w:color w:val="000000"/>
                <w:sz w:val="20"/>
                <w:szCs w:val="20"/>
              </w:rPr>
              <w:instrText xml:space="preserve"> FORMDROPDOWN </w:instrText>
            </w:r>
            <w:r w:rsidR="00A755A1">
              <w:rPr>
                <w:color w:val="000000"/>
                <w:sz w:val="20"/>
                <w:szCs w:val="20"/>
              </w:rPr>
            </w:r>
            <w:r w:rsidR="00A755A1">
              <w:rPr>
                <w:color w:val="000000"/>
                <w:sz w:val="20"/>
                <w:szCs w:val="20"/>
              </w:rPr>
              <w:fldChar w:fldCharType="separate"/>
            </w:r>
            <w:r>
              <w:rPr>
                <w:color w:val="000000"/>
                <w:sz w:val="20"/>
                <w:szCs w:val="20"/>
              </w:rPr>
              <w:fldChar w:fldCharType="end"/>
            </w:r>
          </w:p>
        </w:tc>
        <w:tc>
          <w:tcPr>
            <w:tcW w:w="1059" w:type="pct"/>
            <w:shd w:val="clear" w:color="auto" w:fill="auto"/>
          </w:tcPr>
          <w:p w14:paraId="2B626A1A" w14:textId="77777777" w:rsidR="00A313E8" w:rsidRDefault="00C16C96" w:rsidP="00AA4E74">
            <w:pPr>
              <w:shd w:val="clear" w:color="auto" w:fill="FFFFFF"/>
              <w:jc w:val="center"/>
              <w:rPr>
                <w:color w:val="000000"/>
                <w:sz w:val="20"/>
                <w:szCs w:val="20"/>
                <w:highlight w:val="lightGray"/>
              </w:rPr>
            </w:pPr>
            <w:r w:rsidRPr="00C16C96">
              <w:rPr>
                <w:color w:val="000000"/>
                <w:sz w:val="20"/>
                <w:szCs w:val="20"/>
                <w:highlight w:val="lightGray"/>
              </w:rPr>
              <w:t>Sex-disaggregated indicators</w:t>
            </w:r>
          </w:p>
          <w:p w14:paraId="6BF15540" w14:textId="6D619AB0" w:rsidR="001B1AAB" w:rsidRPr="001731CE" w:rsidRDefault="001B1AAB" w:rsidP="00AA4E74">
            <w:pPr>
              <w:shd w:val="clear" w:color="auto" w:fill="FFFFFF"/>
              <w:jc w:val="center"/>
              <w:rPr>
                <w:sz w:val="20"/>
                <w:szCs w:val="20"/>
              </w:rPr>
            </w:pPr>
            <w:r w:rsidRPr="001B1AAB">
              <w:rPr>
                <w:sz w:val="20"/>
                <w:szCs w:val="20"/>
              </w:rPr>
              <w:t>Gender-sensitive indicators</w:t>
            </w:r>
          </w:p>
        </w:tc>
        <w:tc>
          <w:tcPr>
            <w:tcW w:w="1171" w:type="pct"/>
            <w:shd w:val="clear" w:color="auto" w:fill="auto"/>
          </w:tcPr>
          <w:p w14:paraId="24606A4C" w14:textId="77777777" w:rsidR="00A313E8" w:rsidRPr="001731CE" w:rsidRDefault="00A313E8" w:rsidP="00AA4E74">
            <w:pPr>
              <w:shd w:val="clear" w:color="auto" w:fill="FFFFFF"/>
              <w:jc w:val="center"/>
              <w:rPr>
                <w:sz w:val="20"/>
                <w:szCs w:val="20"/>
              </w:rPr>
            </w:pPr>
            <w:r w:rsidRPr="001731CE">
              <w:rPr>
                <w:color w:val="000000"/>
                <w:sz w:val="20"/>
                <w:szCs w:val="20"/>
              </w:rPr>
              <w:fldChar w:fldCharType="begin">
                <w:ffData>
                  <w:name w:val=""/>
                  <w:enabled/>
                  <w:calcOnExit w:val="0"/>
                  <w:ddList>
                    <w:listEntry w:val="(multiple selection)"/>
                  </w:ddList>
                </w:ffData>
              </w:fldChar>
            </w:r>
            <w:r w:rsidRPr="001731CE">
              <w:rPr>
                <w:color w:val="000000"/>
                <w:sz w:val="20"/>
                <w:szCs w:val="20"/>
              </w:rPr>
              <w:instrText xml:space="preserve"> FORMDROPDOWN </w:instrText>
            </w:r>
            <w:r w:rsidR="00A755A1">
              <w:rPr>
                <w:color w:val="000000"/>
                <w:sz w:val="20"/>
                <w:szCs w:val="20"/>
              </w:rPr>
            </w:r>
            <w:r w:rsidR="00A755A1">
              <w:rPr>
                <w:color w:val="000000"/>
                <w:sz w:val="20"/>
                <w:szCs w:val="20"/>
              </w:rPr>
              <w:fldChar w:fldCharType="separate"/>
            </w:r>
            <w:r w:rsidRPr="001731CE">
              <w:rPr>
                <w:color w:val="000000"/>
                <w:sz w:val="20"/>
                <w:szCs w:val="20"/>
              </w:rPr>
              <w:fldChar w:fldCharType="end"/>
            </w:r>
          </w:p>
        </w:tc>
      </w:tr>
      <w:tr w:rsidR="00A313E8" w:rsidRPr="001731CE" w14:paraId="5C17AD90" w14:textId="77777777" w:rsidTr="00D85FBF">
        <w:tc>
          <w:tcPr>
            <w:tcW w:w="1538" w:type="pct"/>
            <w:shd w:val="clear" w:color="auto" w:fill="auto"/>
          </w:tcPr>
          <w:p w14:paraId="5A85EEC8" w14:textId="77777777" w:rsidR="00A313E8" w:rsidRPr="001731CE" w:rsidRDefault="00A313E8" w:rsidP="00AA4E74">
            <w:pPr>
              <w:shd w:val="clear" w:color="auto" w:fill="FFFFFF"/>
              <w:rPr>
                <w:sz w:val="20"/>
                <w:szCs w:val="20"/>
              </w:rPr>
            </w:pPr>
            <w:r w:rsidRPr="001731CE">
              <w:rPr>
                <w:sz w:val="20"/>
                <w:szCs w:val="20"/>
              </w:rPr>
              <w:t>Focal Area/Theme</w:t>
            </w:r>
          </w:p>
        </w:tc>
        <w:tc>
          <w:tcPr>
            <w:tcW w:w="1232" w:type="pct"/>
            <w:shd w:val="clear" w:color="auto" w:fill="auto"/>
          </w:tcPr>
          <w:p w14:paraId="5F2665DE" w14:textId="77777777" w:rsidR="00A313E8" w:rsidRPr="001731CE" w:rsidRDefault="00C16C96" w:rsidP="00AA4E74">
            <w:pPr>
              <w:shd w:val="clear" w:color="auto" w:fill="FFFFFF"/>
              <w:jc w:val="center"/>
              <w:rPr>
                <w:sz w:val="20"/>
                <w:szCs w:val="20"/>
              </w:rPr>
            </w:pPr>
            <w:r>
              <w:rPr>
                <w:color w:val="000000"/>
                <w:sz w:val="20"/>
                <w:szCs w:val="20"/>
              </w:rPr>
              <w:fldChar w:fldCharType="begin">
                <w:ffData>
                  <w:name w:val=""/>
                  <w:enabled/>
                  <w:calcOnExit w:val="0"/>
                  <w:ddList>
                    <w:listEntry w:val="Climate change"/>
                    <w:listEntry w:val="(multiple selection)"/>
                    <w:listEntry w:val="Capacity, knowledge and research"/>
                    <w:listEntry w:val="Biodiversity"/>
                    <w:listEntry w:val="Forests"/>
                    <w:listEntry w:val="Land degradation"/>
                    <w:listEntry w:val="International waters"/>
                    <w:listEntry w:val="Chemicals and wastes"/>
                    <w:listEntry w:val="Integrated programs"/>
                  </w:ddList>
                </w:ffData>
              </w:fldChar>
            </w:r>
            <w:r>
              <w:rPr>
                <w:color w:val="000000"/>
                <w:sz w:val="20"/>
                <w:szCs w:val="20"/>
              </w:rPr>
              <w:instrText xml:space="preserve"> FORMDROPDOWN </w:instrText>
            </w:r>
            <w:r w:rsidR="00A755A1">
              <w:rPr>
                <w:color w:val="000000"/>
                <w:sz w:val="20"/>
                <w:szCs w:val="20"/>
              </w:rPr>
            </w:r>
            <w:r w:rsidR="00A755A1">
              <w:rPr>
                <w:color w:val="000000"/>
                <w:sz w:val="20"/>
                <w:szCs w:val="20"/>
              </w:rPr>
              <w:fldChar w:fldCharType="separate"/>
            </w:r>
            <w:r>
              <w:rPr>
                <w:color w:val="000000"/>
                <w:sz w:val="20"/>
                <w:szCs w:val="20"/>
              </w:rPr>
              <w:fldChar w:fldCharType="end"/>
            </w:r>
          </w:p>
        </w:tc>
        <w:tc>
          <w:tcPr>
            <w:tcW w:w="1059" w:type="pct"/>
            <w:shd w:val="clear" w:color="auto" w:fill="auto"/>
          </w:tcPr>
          <w:p w14:paraId="3863ABBD" w14:textId="6DFE158C" w:rsidR="00A313E8" w:rsidRDefault="00C16C96" w:rsidP="00AA4E74">
            <w:pPr>
              <w:shd w:val="clear" w:color="auto" w:fill="FFFFFF"/>
              <w:jc w:val="center"/>
              <w:rPr>
                <w:color w:val="000000"/>
                <w:sz w:val="20"/>
                <w:szCs w:val="20"/>
                <w:highlight w:val="lightGray"/>
              </w:rPr>
            </w:pPr>
            <w:r w:rsidRPr="00C16C96">
              <w:rPr>
                <w:color w:val="000000"/>
                <w:sz w:val="20"/>
                <w:szCs w:val="20"/>
                <w:highlight w:val="lightGray"/>
              </w:rPr>
              <w:t xml:space="preserve">Climate Change Mitigation </w:t>
            </w:r>
          </w:p>
          <w:p w14:paraId="478D904C" w14:textId="77777777" w:rsidR="00AC37A6" w:rsidRDefault="00AC37A6" w:rsidP="00AA4E74">
            <w:pPr>
              <w:shd w:val="clear" w:color="auto" w:fill="FFFFFF"/>
              <w:jc w:val="center"/>
              <w:rPr>
                <w:color w:val="000000"/>
                <w:sz w:val="20"/>
                <w:szCs w:val="20"/>
                <w:highlight w:val="lightGray"/>
              </w:rPr>
            </w:pPr>
          </w:p>
          <w:p w14:paraId="1F46A4AC" w14:textId="1CE597F1" w:rsidR="00AC37A6" w:rsidRDefault="00AC37A6" w:rsidP="00AC37A6">
            <w:pPr>
              <w:shd w:val="clear" w:color="auto" w:fill="FFFFFF"/>
              <w:jc w:val="center"/>
              <w:rPr>
                <w:color w:val="000000"/>
                <w:sz w:val="20"/>
                <w:szCs w:val="20"/>
                <w:highlight w:val="lightGray"/>
              </w:rPr>
            </w:pPr>
            <w:r>
              <w:rPr>
                <w:color w:val="000000"/>
                <w:sz w:val="20"/>
                <w:szCs w:val="20"/>
                <w:highlight w:val="lightGray"/>
              </w:rPr>
              <w:t>United Nations Framework on Climate Change</w:t>
            </w:r>
          </w:p>
          <w:p w14:paraId="2F02B458" w14:textId="15CD6BDD" w:rsidR="00AC37A6" w:rsidRDefault="00AC37A6" w:rsidP="00AC37A6">
            <w:pPr>
              <w:shd w:val="clear" w:color="auto" w:fill="FFFFFF"/>
              <w:jc w:val="center"/>
              <w:rPr>
                <w:color w:val="000000"/>
                <w:sz w:val="20"/>
                <w:szCs w:val="20"/>
                <w:highlight w:val="lightGray"/>
              </w:rPr>
            </w:pPr>
          </w:p>
          <w:p w14:paraId="5F1ECF1C" w14:textId="34197368" w:rsidR="00AC37A6" w:rsidRPr="00C16C96" w:rsidRDefault="00AC37A6" w:rsidP="00AC37A6">
            <w:pPr>
              <w:shd w:val="clear" w:color="auto" w:fill="FFFFFF"/>
              <w:jc w:val="center"/>
              <w:rPr>
                <w:sz w:val="20"/>
                <w:szCs w:val="20"/>
                <w:highlight w:val="lightGray"/>
              </w:rPr>
            </w:pPr>
            <w:r>
              <w:rPr>
                <w:color w:val="000000"/>
                <w:sz w:val="20"/>
                <w:szCs w:val="20"/>
                <w:highlight w:val="lightGray"/>
              </w:rPr>
              <w:t>Climate Finance (Rio Markers)</w:t>
            </w:r>
          </w:p>
        </w:tc>
        <w:tc>
          <w:tcPr>
            <w:tcW w:w="1171" w:type="pct"/>
            <w:shd w:val="clear" w:color="auto" w:fill="auto"/>
          </w:tcPr>
          <w:p w14:paraId="1940350B" w14:textId="77777777" w:rsidR="00A313E8" w:rsidRDefault="00C16C96" w:rsidP="00AA4E74">
            <w:pPr>
              <w:shd w:val="clear" w:color="auto" w:fill="FFFFFF"/>
              <w:jc w:val="center"/>
              <w:rPr>
                <w:color w:val="000000"/>
                <w:sz w:val="20"/>
                <w:szCs w:val="20"/>
                <w:highlight w:val="lightGray"/>
              </w:rPr>
            </w:pPr>
            <w:r w:rsidRPr="00C16C96">
              <w:rPr>
                <w:color w:val="000000"/>
                <w:sz w:val="20"/>
                <w:szCs w:val="20"/>
                <w:highlight w:val="lightGray"/>
              </w:rPr>
              <w:t>Enabling Activities</w:t>
            </w:r>
            <w:r>
              <w:rPr>
                <w:rStyle w:val="FootnoteReference"/>
                <w:color w:val="000000"/>
                <w:sz w:val="20"/>
                <w:szCs w:val="20"/>
                <w:highlight w:val="lightGray"/>
              </w:rPr>
              <w:footnoteReference w:id="1"/>
            </w:r>
          </w:p>
          <w:p w14:paraId="570D1A81" w14:textId="77777777" w:rsidR="00D5095C" w:rsidRDefault="00D5095C" w:rsidP="00AA4E74">
            <w:pPr>
              <w:shd w:val="clear" w:color="auto" w:fill="FFFFFF"/>
              <w:jc w:val="center"/>
              <w:rPr>
                <w:color w:val="000000"/>
                <w:sz w:val="20"/>
                <w:szCs w:val="20"/>
                <w:highlight w:val="lightGray"/>
              </w:rPr>
            </w:pPr>
          </w:p>
          <w:p w14:paraId="68B133CC" w14:textId="77777777" w:rsidR="00D5095C" w:rsidRDefault="00D5095C" w:rsidP="00AA4E74">
            <w:pPr>
              <w:shd w:val="clear" w:color="auto" w:fill="FFFFFF"/>
              <w:jc w:val="center"/>
              <w:rPr>
                <w:color w:val="000000"/>
                <w:sz w:val="20"/>
                <w:szCs w:val="20"/>
                <w:highlight w:val="lightGray"/>
              </w:rPr>
            </w:pPr>
            <w:r>
              <w:rPr>
                <w:color w:val="000000"/>
                <w:sz w:val="20"/>
                <w:szCs w:val="20"/>
                <w:highlight w:val="lightGray"/>
              </w:rPr>
              <w:t>Paris Agreement</w:t>
            </w:r>
          </w:p>
          <w:p w14:paraId="000E3587" w14:textId="77777777" w:rsidR="00D5095C" w:rsidRDefault="00D5095C" w:rsidP="00AA4E74">
            <w:pPr>
              <w:shd w:val="clear" w:color="auto" w:fill="FFFFFF"/>
              <w:jc w:val="center"/>
              <w:rPr>
                <w:color w:val="000000"/>
                <w:sz w:val="20"/>
                <w:szCs w:val="20"/>
                <w:highlight w:val="lightGray"/>
              </w:rPr>
            </w:pPr>
          </w:p>
          <w:p w14:paraId="10FA281A" w14:textId="77777777" w:rsidR="00D5095C" w:rsidRDefault="00D5095C" w:rsidP="00AA4E74">
            <w:pPr>
              <w:shd w:val="clear" w:color="auto" w:fill="FFFFFF"/>
              <w:jc w:val="center"/>
              <w:rPr>
                <w:color w:val="000000"/>
                <w:sz w:val="20"/>
                <w:szCs w:val="20"/>
                <w:highlight w:val="lightGray"/>
              </w:rPr>
            </w:pPr>
            <w:r>
              <w:rPr>
                <w:color w:val="000000"/>
                <w:sz w:val="20"/>
                <w:szCs w:val="20"/>
                <w:highlight w:val="lightGray"/>
              </w:rPr>
              <w:t>Climate Change Mitigation 2</w:t>
            </w:r>
          </w:p>
          <w:p w14:paraId="3BFC60BB" w14:textId="67E12172" w:rsidR="001A17CC" w:rsidRPr="00C16C96" w:rsidRDefault="001A17CC" w:rsidP="00AA4E74">
            <w:pPr>
              <w:shd w:val="clear" w:color="auto" w:fill="FFFFFF"/>
              <w:jc w:val="center"/>
              <w:rPr>
                <w:sz w:val="20"/>
                <w:szCs w:val="20"/>
                <w:highlight w:val="lightGray"/>
              </w:rPr>
            </w:pPr>
            <w:r w:rsidRPr="00406C0D">
              <w:rPr>
                <w:sz w:val="20"/>
                <w:szCs w:val="20"/>
              </w:rPr>
              <w:t>Climate Change Adaptation 1</w:t>
            </w:r>
          </w:p>
        </w:tc>
      </w:tr>
      <w:bookmarkEnd w:id="28"/>
    </w:tbl>
    <w:p w14:paraId="7BAF4CB9" w14:textId="189DB0F0" w:rsidR="00481F41" w:rsidRPr="00816D87" w:rsidRDefault="00481F41" w:rsidP="00AA4E74">
      <w:pPr>
        <w:pStyle w:val="GEFQuestion"/>
        <w:shd w:val="clear" w:color="auto" w:fill="FFFFFF"/>
        <w:rPr>
          <w:u w:val="single"/>
        </w:rPr>
      </w:pPr>
    </w:p>
    <w:p w14:paraId="75C34F09" w14:textId="77777777" w:rsidR="00FF68F0" w:rsidRPr="005875DD" w:rsidRDefault="00FF68F0" w:rsidP="005875DD">
      <w:pPr>
        <w:pStyle w:val="GEFQuestion"/>
        <w:shd w:val="clear" w:color="auto" w:fill="FFFFFF"/>
        <w:rPr>
          <w:b/>
          <w:caps/>
          <w:color w:val="000000"/>
          <w:szCs w:val="22"/>
          <w:u w:val="single"/>
          <w:lang w:val="x-none" w:eastAsia="x-none"/>
        </w:rPr>
      </w:pPr>
      <w:r w:rsidRPr="005875DD">
        <w:rPr>
          <w:b/>
          <w:caps/>
          <w:color w:val="000000"/>
          <w:szCs w:val="22"/>
          <w:u w:val="single"/>
          <w:lang w:val="x-none" w:eastAsia="x-none"/>
        </w:rPr>
        <w:t>part ii:  project JustiFication</w:t>
      </w:r>
    </w:p>
    <w:p w14:paraId="0E412F61" w14:textId="77777777" w:rsidR="00FF68F0" w:rsidRPr="00816D87" w:rsidRDefault="00FF68F0" w:rsidP="00FF68F0">
      <w:pPr>
        <w:rPr>
          <w:u w:val="single"/>
        </w:rPr>
      </w:pPr>
    </w:p>
    <w:p w14:paraId="72F2C9E7" w14:textId="6E242513" w:rsidR="00CE4C7F" w:rsidRPr="001731CE" w:rsidRDefault="00F91DD9" w:rsidP="00AA4E74">
      <w:pPr>
        <w:pStyle w:val="GEFQuestion"/>
        <w:shd w:val="clear" w:color="auto" w:fill="FFFFFF"/>
      </w:pPr>
      <w:r w:rsidRPr="001731CE">
        <w:t>1</w:t>
      </w:r>
      <w:r w:rsidR="00A70927" w:rsidRPr="001731CE">
        <w:t>a</w:t>
      </w:r>
      <w:r w:rsidRPr="001731CE">
        <w:t xml:space="preserve">. </w:t>
      </w:r>
      <w:r w:rsidR="00616D13" w:rsidRPr="001731CE">
        <w:rPr>
          <w:i/>
        </w:rPr>
        <w:t>Project Description.</w:t>
      </w:r>
      <w:r w:rsidR="00616D13" w:rsidRPr="001731CE">
        <w:t xml:space="preserve"> </w:t>
      </w:r>
      <w:r w:rsidR="00693747" w:rsidRPr="001731CE">
        <w:t>Briefly describe</w:t>
      </w:r>
      <w:r w:rsidR="008876C6" w:rsidRPr="001731CE">
        <w:t xml:space="preserve">: </w:t>
      </w:r>
    </w:p>
    <w:p w14:paraId="67388931" w14:textId="77777777" w:rsidR="00172533" w:rsidRPr="001731CE" w:rsidRDefault="00693747" w:rsidP="00AA4E74">
      <w:pPr>
        <w:pStyle w:val="GEFQuestion"/>
        <w:shd w:val="clear" w:color="auto" w:fill="FFFFFF"/>
      </w:pPr>
      <w:r w:rsidRPr="001731CE">
        <w:t>1) the global environmental</w:t>
      </w:r>
      <w:r w:rsidR="00C13D4B" w:rsidRPr="001731CE">
        <w:t xml:space="preserve"> and/or adaptation</w:t>
      </w:r>
      <w:r w:rsidRPr="001731CE">
        <w:t xml:space="preserve"> problems, root causes and barriers that need to be addressed</w:t>
      </w:r>
      <w:r w:rsidR="00D07CCF" w:rsidRPr="001731CE">
        <w:t xml:space="preserve"> (systems description)</w:t>
      </w:r>
      <w:r w:rsidRPr="001731CE">
        <w:t>; 2) the baseline scenario</w:t>
      </w:r>
      <w:r w:rsidR="00CE4C7F" w:rsidRPr="001731CE">
        <w:t xml:space="preserve"> and</w:t>
      </w:r>
      <w:r w:rsidRPr="001731CE">
        <w:t xml:space="preserve"> any associated baseline projects, 3) the proposed alternative scenario</w:t>
      </w:r>
      <w:r w:rsidR="00D07CCF" w:rsidRPr="001731CE">
        <w:t xml:space="preserve"> </w:t>
      </w:r>
      <w:r w:rsidR="00AC6838" w:rsidRPr="001731CE">
        <w:t xml:space="preserve">with </w:t>
      </w:r>
      <w:r w:rsidR="004A3A96" w:rsidRPr="001731CE">
        <w:t>a brief</w:t>
      </w:r>
      <w:r w:rsidR="00AC6838" w:rsidRPr="001731CE">
        <w:t xml:space="preserve"> description of </w:t>
      </w:r>
      <w:r w:rsidR="004A3A96" w:rsidRPr="001731CE">
        <w:t xml:space="preserve">expected outcomes and components of the project; </w:t>
      </w:r>
      <w:r w:rsidR="00D07CCF" w:rsidRPr="001731CE">
        <w:t xml:space="preserve">4) </w:t>
      </w:r>
      <w:r w:rsidR="004E6E53" w:rsidRPr="001731CE">
        <w:t>a</w:t>
      </w:r>
      <w:r w:rsidR="00D07CCF" w:rsidRPr="001731CE">
        <w:t>lignment with GEF focal area and/or Impact Program strategies</w:t>
      </w:r>
      <w:r w:rsidR="004A3A96" w:rsidRPr="001731CE">
        <w:t xml:space="preserve">; </w:t>
      </w:r>
      <w:r w:rsidR="001337A4" w:rsidRPr="001731CE">
        <w:t>5</w:t>
      </w:r>
      <w:r w:rsidRPr="001731CE">
        <w:t xml:space="preserve">) </w:t>
      </w:r>
      <w:r w:rsidRPr="001731CE" w:rsidDel="00B132EE">
        <w:t>incremental</w:t>
      </w:r>
      <w:r w:rsidR="00255EF0" w:rsidRPr="001731CE">
        <w:t>/additional</w:t>
      </w:r>
      <w:r w:rsidRPr="001731CE">
        <w:t xml:space="preserve"> cost reasoning and expected contributions from the baseline, the GEFTF, LDCF</w:t>
      </w:r>
      <w:r w:rsidR="00B3469D" w:rsidRPr="001731CE">
        <w:t xml:space="preserve">, </w:t>
      </w:r>
      <w:r w:rsidRPr="001731CE">
        <w:t>SCCF</w:t>
      </w:r>
      <w:r w:rsidR="00AD36F1" w:rsidRPr="001731CE">
        <w:t>,</w:t>
      </w:r>
      <w:r w:rsidR="00B3469D" w:rsidRPr="001731CE">
        <w:t xml:space="preserve"> </w:t>
      </w:r>
      <w:r w:rsidRPr="001731CE">
        <w:t xml:space="preserve">and co-financing; </w:t>
      </w:r>
      <w:r w:rsidR="001337A4" w:rsidRPr="001731CE">
        <w:t>6</w:t>
      </w:r>
      <w:r w:rsidRPr="001731CE">
        <w:t xml:space="preserve">) </w:t>
      </w:r>
      <w:bookmarkStart w:id="29" w:name="_Hlk512851370"/>
      <w:r w:rsidRPr="001731CE">
        <w:t>global environmental benefits</w:t>
      </w:r>
      <w:bookmarkEnd w:id="29"/>
      <w:r w:rsidRPr="001731CE">
        <w:t xml:space="preserve"> (GEFTF) </w:t>
      </w:r>
      <w:r w:rsidR="001E1AFB" w:rsidRPr="001731CE">
        <w:t>and/or</w:t>
      </w:r>
      <w:r w:rsidR="00255EF0" w:rsidRPr="001731CE">
        <w:t xml:space="preserve"> </w:t>
      </w:r>
      <w:r w:rsidRPr="001731CE">
        <w:t>adaptation benefits (LDCF/SCCF);</w:t>
      </w:r>
      <w:r w:rsidR="0067183B" w:rsidRPr="001731CE">
        <w:t xml:space="preserve"> and</w:t>
      </w:r>
      <w:r w:rsidRPr="001731CE">
        <w:t xml:space="preserve"> </w:t>
      </w:r>
      <w:r w:rsidR="001337A4" w:rsidRPr="001731CE">
        <w:t>7</w:t>
      </w:r>
      <w:r w:rsidRPr="001731CE">
        <w:t>) innovati</w:t>
      </w:r>
      <w:r w:rsidR="0078368C" w:rsidRPr="001731CE">
        <w:t>on</w:t>
      </w:r>
      <w:r w:rsidRPr="001731CE">
        <w:t>, sustainability and potential for scaling up</w:t>
      </w:r>
      <w:r w:rsidR="003236A7" w:rsidRPr="001731CE">
        <w:t xml:space="preserve">. </w:t>
      </w:r>
      <w:r w:rsidR="003236A7" w:rsidRPr="001731CE">
        <w:t> </w:t>
      </w:r>
    </w:p>
    <w:p w14:paraId="7EF41AC0" w14:textId="77777777" w:rsidR="006A186A" w:rsidRDefault="006A186A" w:rsidP="00AA4E74">
      <w:pPr>
        <w:pStyle w:val="GEFFieldtoFillout"/>
        <w:shd w:val="clear" w:color="auto" w:fill="FFFFFF"/>
      </w:pPr>
    </w:p>
    <w:p w14:paraId="75B344E9" w14:textId="77777777" w:rsidR="00737402" w:rsidRDefault="00737402" w:rsidP="009D0152">
      <w:pPr>
        <w:numPr>
          <w:ilvl w:val="0"/>
          <w:numId w:val="2"/>
        </w:numPr>
        <w:snapToGrid w:val="0"/>
        <w:outlineLvl w:val="0"/>
        <w:rPr>
          <w:rFonts w:eastAsia="SimSun"/>
          <w:i/>
          <w:sz w:val="22"/>
          <w:szCs w:val="22"/>
        </w:rPr>
      </w:pPr>
      <w:r>
        <w:rPr>
          <w:rFonts w:eastAsia="SimSun"/>
          <w:i/>
          <w:color w:val="000000"/>
          <w:sz w:val="22"/>
          <w:szCs w:val="22"/>
        </w:rPr>
        <w:t>T</w:t>
      </w:r>
      <w:r w:rsidRPr="00094AC2">
        <w:rPr>
          <w:rFonts w:eastAsia="SimSun"/>
          <w:i/>
          <w:color w:val="000000"/>
          <w:sz w:val="22"/>
          <w:szCs w:val="22"/>
        </w:rPr>
        <w:t>he</w:t>
      </w:r>
      <w:r w:rsidRPr="00094AC2">
        <w:rPr>
          <w:rFonts w:eastAsia="SimSun"/>
          <w:i/>
          <w:sz w:val="22"/>
          <w:szCs w:val="22"/>
        </w:rPr>
        <w:t xml:space="preserve"> global environmental and/or adaptation problems, root causes and barriers that need to be addressed</w:t>
      </w:r>
    </w:p>
    <w:p w14:paraId="7967A6F0" w14:textId="77777777" w:rsidR="00737402" w:rsidRDefault="00737402" w:rsidP="00737402">
      <w:pPr>
        <w:snapToGrid w:val="0"/>
        <w:ind w:left="-450"/>
        <w:outlineLvl w:val="0"/>
        <w:rPr>
          <w:rFonts w:eastAsia="SimSun"/>
          <w:i/>
          <w:color w:val="000000"/>
          <w:sz w:val="22"/>
          <w:szCs w:val="22"/>
        </w:rPr>
      </w:pPr>
    </w:p>
    <w:p w14:paraId="187C2E9D" w14:textId="77777777" w:rsidR="00737402" w:rsidRDefault="00737402" w:rsidP="00737402">
      <w:pPr>
        <w:snapToGrid w:val="0"/>
        <w:ind w:left="-450"/>
        <w:jc w:val="both"/>
        <w:outlineLvl w:val="0"/>
        <w:rPr>
          <w:sz w:val="22"/>
          <w:szCs w:val="22"/>
        </w:rPr>
      </w:pPr>
      <w:r w:rsidRPr="00AC4EC8">
        <w:rPr>
          <w:sz w:val="22"/>
          <w:szCs w:val="22"/>
        </w:rPr>
        <w:t>The Republic of Mauritius is a</w:t>
      </w:r>
      <w:r>
        <w:rPr>
          <w:sz w:val="22"/>
          <w:szCs w:val="22"/>
        </w:rPr>
        <w:t xml:space="preserve"> small island developing state (SIDS) </w:t>
      </w:r>
      <w:r w:rsidRPr="00AC4EC8">
        <w:rPr>
          <w:sz w:val="22"/>
          <w:szCs w:val="22"/>
        </w:rPr>
        <w:t xml:space="preserve">off the south-east coast of the African continent in the south-west Indian Ocean, approximately 900 km east of Madagascar. </w:t>
      </w:r>
      <w:r>
        <w:rPr>
          <w:sz w:val="22"/>
          <w:szCs w:val="22"/>
        </w:rPr>
        <w:t>In 2013, the latest year for which official data are available, net greenhouse gas (GHG) emissions for Mauritius, including the Agriculture, Forestry and Other Land Use (AFOLU) sector, were estimated to be 4.8 MtCO</w:t>
      </w:r>
      <w:r w:rsidRPr="002951D5">
        <w:rPr>
          <w:sz w:val="22"/>
          <w:szCs w:val="22"/>
          <w:vertAlign w:val="subscript"/>
        </w:rPr>
        <w:t>2</w:t>
      </w:r>
      <w:r>
        <w:rPr>
          <w:sz w:val="22"/>
          <w:szCs w:val="22"/>
        </w:rPr>
        <w:t xml:space="preserve">e – a near-doubling since 2000. </w:t>
      </w:r>
    </w:p>
    <w:p w14:paraId="6F150663" w14:textId="77777777" w:rsidR="00737402" w:rsidRDefault="00737402" w:rsidP="00737402">
      <w:pPr>
        <w:snapToGrid w:val="0"/>
        <w:ind w:left="-450"/>
        <w:jc w:val="both"/>
        <w:outlineLvl w:val="0"/>
        <w:rPr>
          <w:sz w:val="22"/>
          <w:szCs w:val="22"/>
        </w:rPr>
      </w:pPr>
    </w:p>
    <w:p w14:paraId="14A2FD80" w14:textId="47B8AE2F" w:rsidR="00737402" w:rsidRPr="00737402" w:rsidRDefault="00737402" w:rsidP="00676A2D">
      <w:pPr>
        <w:ind w:left="-426"/>
        <w:jc w:val="both"/>
        <w:rPr>
          <w:rFonts w:cs="Calibri"/>
          <w:sz w:val="22"/>
          <w:szCs w:val="22"/>
        </w:rPr>
      </w:pPr>
      <w:r w:rsidRPr="00737402">
        <w:rPr>
          <w:rFonts w:cs="Calibri"/>
          <w:sz w:val="22"/>
          <w:szCs w:val="22"/>
        </w:rPr>
        <w:t xml:space="preserve">Mauritius has recently completed its Third National Communication to the UNFCCC (TNC, 2016), is currently undertaking its first Biennial Update Report (BUR-1) and plans to commence work on its Fourth National Communication (FNC) in 2020. An updated Nationally Determined Contribution (NDC-2) will be submitted in 2020. The UNEP-GEF project, ‘NAMAs for low-carbon island development strategy’, which is currently under implementation, intends to </w:t>
      </w:r>
      <w:r w:rsidR="00D17A22" w:rsidRPr="00D17A22">
        <w:rPr>
          <w:rFonts w:cs="Calibri"/>
          <w:sz w:val="22"/>
          <w:szCs w:val="22"/>
        </w:rPr>
        <w:t>(i) strengthen  national capability to identify, prioriti</w:t>
      </w:r>
      <w:r w:rsidR="0061125B">
        <w:rPr>
          <w:rFonts w:cs="Calibri"/>
          <w:sz w:val="22"/>
          <w:szCs w:val="22"/>
        </w:rPr>
        <w:t>s</w:t>
      </w:r>
      <w:r w:rsidR="00D17A22" w:rsidRPr="00D17A22">
        <w:rPr>
          <w:rFonts w:cs="Calibri"/>
          <w:sz w:val="22"/>
          <w:szCs w:val="22"/>
        </w:rPr>
        <w:t xml:space="preserve">e and develop mitigation actions to meet NDC targets; (ii) initiate implementation actions on </w:t>
      </w:r>
      <w:r w:rsidR="00A204F8">
        <w:rPr>
          <w:rFonts w:cs="Calibri"/>
          <w:sz w:val="22"/>
          <w:szCs w:val="22"/>
        </w:rPr>
        <w:t>r</w:t>
      </w:r>
      <w:r w:rsidR="00D17A22" w:rsidRPr="00D17A22">
        <w:rPr>
          <w:rFonts w:cs="Calibri"/>
          <w:sz w:val="22"/>
          <w:szCs w:val="22"/>
        </w:rPr>
        <w:t xml:space="preserve">enewable </w:t>
      </w:r>
      <w:proofErr w:type="spellStart"/>
      <w:r w:rsidR="00D17A22" w:rsidRPr="00D17A22">
        <w:rPr>
          <w:rFonts w:cs="Calibri"/>
          <w:sz w:val="22"/>
          <w:szCs w:val="22"/>
        </w:rPr>
        <w:t>E</w:t>
      </w:r>
      <w:r w:rsidR="00A204F8">
        <w:rPr>
          <w:rFonts w:cs="Calibri"/>
          <w:sz w:val="22"/>
          <w:szCs w:val="22"/>
        </w:rPr>
        <w:t>e</w:t>
      </w:r>
      <w:r w:rsidR="00D17A22" w:rsidRPr="00D17A22">
        <w:rPr>
          <w:rFonts w:cs="Calibri"/>
          <w:sz w:val="22"/>
          <w:szCs w:val="22"/>
        </w:rPr>
        <w:t>nergy</w:t>
      </w:r>
      <w:proofErr w:type="spellEnd"/>
      <w:r w:rsidR="00D17A22" w:rsidRPr="00D17A22">
        <w:rPr>
          <w:rFonts w:cs="Calibri"/>
          <w:sz w:val="22"/>
          <w:szCs w:val="22"/>
        </w:rPr>
        <w:t xml:space="preserve"> targets</w:t>
      </w:r>
      <w:r w:rsidR="00A204F8">
        <w:rPr>
          <w:rFonts w:cs="Calibri"/>
          <w:sz w:val="22"/>
          <w:szCs w:val="22"/>
        </w:rPr>
        <w:t>; and</w:t>
      </w:r>
      <w:r w:rsidR="00D17A22" w:rsidRPr="00D17A22">
        <w:rPr>
          <w:rFonts w:cs="Calibri"/>
          <w:sz w:val="22"/>
          <w:szCs w:val="22"/>
        </w:rPr>
        <w:t xml:space="preserve"> (iii) set up an </w:t>
      </w:r>
      <w:r w:rsidR="00A204F8">
        <w:rPr>
          <w:rFonts w:cs="Calibri"/>
          <w:sz w:val="22"/>
          <w:szCs w:val="22"/>
        </w:rPr>
        <w:t>e</w:t>
      </w:r>
      <w:r w:rsidR="00D17A22" w:rsidRPr="00D17A22">
        <w:rPr>
          <w:rFonts w:cs="Calibri"/>
          <w:sz w:val="22"/>
          <w:szCs w:val="22"/>
        </w:rPr>
        <w:t xml:space="preserve">nhanced </w:t>
      </w:r>
      <w:r w:rsidR="00A204F8">
        <w:rPr>
          <w:rFonts w:cs="Calibri"/>
          <w:sz w:val="22"/>
          <w:szCs w:val="22"/>
        </w:rPr>
        <w:t>t</w:t>
      </w:r>
      <w:r w:rsidR="00D17A22" w:rsidRPr="00D17A22">
        <w:rPr>
          <w:rFonts w:cs="Calibri"/>
          <w:sz w:val="22"/>
          <w:szCs w:val="22"/>
        </w:rPr>
        <w:t xml:space="preserve">ransparency </w:t>
      </w:r>
      <w:r w:rsidR="00A204F8">
        <w:rPr>
          <w:rFonts w:cs="Calibri"/>
          <w:sz w:val="22"/>
          <w:szCs w:val="22"/>
        </w:rPr>
        <w:t>f</w:t>
      </w:r>
      <w:r w:rsidR="00D17A22" w:rsidRPr="00D17A22">
        <w:rPr>
          <w:rFonts w:cs="Calibri"/>
          <w:sz w:val="22"/>
          <w:szCs w:val="22"/>
        </w:rPr>
        <w:t xml:space="preserve">ramework (ETF) to track and transparently report </w:t>
      </w:r>
      <w:r w:rsidR="00A204F8">
        <w:rPr>
          <w:rFonts w:cs="Calibri"/>
          <w:sz w:val="22"/>
          <w:szCs w:val="22"/>
        </w:rPr>
        <w:t xml:space="preserve">on </w:t>
      </w:r>
      <w:r w:rsidR="00D17A22" w:rsidRPr="00D17A22">
        <w:rPr>
          <w:rFonts w:cs="Calibri"/>
          <w:sz w:val="22"/>
          <w:szCs w:val="22"/>
        </w:rPr>
        <w:t xml:space="preserve">NDC implementation for </w:t>
      </w:r>
      <w:r w:rsidR="00A204F8">
        <w:rPr>
          <w:rFonts w:cs="Calibri"/>
          <w:sz w:val="22"/>
          <w:szCs w:val="22"/>
        </w:rPr>
        <w:t>r</w:t>
      </w:r>
      <w:r w:rsidR="00D17A22" w:rsidRPr="00D17A22">
        <w:rPr>
          <w:rFonts w:cs="Calibri"/>
          <w:sz w:val="22"/>
          <w:szCs w:val="22"/>
        </w:rPr>
        <w:t xml:space="preserve">enewable </w:t>
      </w:r>
      <w:r w:rsidR="00A204F8">
        <w:rPr>
          <w:rFonts w:cs="Calibri"/>
          <w:sz w:val="22"/>
          <w:szCs w:val="22"/>
        </w:rPr>
        <w:t>e</w:t>
      </w:r>
      <w:r w:rsidR="00D17A22" w:rsidRPr="00D17A22">
        <w:rPr>
          <w:rFonts w:cs="Calibri"/>
          <w:sz w:val="22"/>
          <w:szCs w:val="22"/>
        </w:rPr>
        <w:t xml:space="preserve">nergy actions. </w:t>
      </w:r>
      <w:r w:rsidRPr="00737402">
        <w:rPr>
          <w:rFonts w:cs="Calibri"/>
          <w:sz w:val="22"/>
          <w:szCs w:val="22"/>
        </w:rPr>
        <w:t>The country also has a large portfolio of GEF and GCF projects under implementation, addressing areas such as renewable energy, energy efficiency, sustainable transport and land use, land use change and forestry (LULUCF).</w:t>
      </w:r>
    </w:p>
    <w:p w14:paraId="5C3FC398" w14:textId="77777777" w:rsidR="00D17A22" w:rsidRPr="00737402" w:rsidRDefault="00D17A22" w:rsidP="00737402">
      <w:pPr>
        <w:ind w:left="-426"/>
        <w:jc w:val="both"/>
        <w:rPr>
          <w:rFonts w:cs="Calibri"/>
          <w:sz w:val="22"/>
          <w:szCs w:val="22"/>
        </w:rPr>
      </w:pPr>
    </w:p>
    <w:p w14:paraId="0086811D" w14:textId="77777777" w:rsidR="00737402" w:rsidRPr="00737402" w:rsidRDefault="00737402" w:rsidP="00737402">
      <w:pPr>
        <w:ind w:left="-426"/>
        <w:jc w:val="both"/>
        <w:rPr>
          <w:rFonts w:cs="Calibri"/>
          <w:sz w:val="22"/>
          <w:szCs w:val="22"/>
        </w:rPr>
      </w:pPr>
      <w:r w:rsidRPr="00737402">
        <w:rPr>
          <w:rFonts w:cs="Calibri"/>
          <w:sz w:val="22"/>
          <w:szCs w:val="22"/>
        </w:rPr>
        <w:t>Under its NDC, Mauritius is targeting a 30% reduction in GHG emissions by 2030. Thirteen project options have been identified for adaptation and 10 for mitigation. The financial resource requirements are estimated at USD 5.5 billion, with USD 4 billion allocated for adaptation and the remaining USD 1.5 billion for mitigation activities during the period 2015-2030.</w:t>
      </w:r>
    </w:p>
    <w:p w14:paraId="4313DA2D" w14:textId="77777777" w:rsidR="00737402" w:rsidRPr="00737402" w:rsidRDefault="00737402" w:rsidP="00737402">
      <w:pPr>
        <w:ind w:left="-426"/>
        <w:jc w:val="both"/>
        <w:rPr>
          <w:rFonts w:cs="Calibri"/>
          <w:sz w:val="22"/>
          <w:szCs w:val="22"/>
        </w:rPr>
      </w:pPr>
    </w:p>
    <w:p w14:paraId="6BA5C35E" w14:textId="77777777" w:rsidR="00737402" w:rsidRPr="00737402" w:rsidRDefault="00737402" w:rsidP="00737402">
      <w:pPr>
        <w:ind w:left="-426"/>
        <w:jc w:val="both"/>
        <w:rPr>
          <w:rFonts w:cs="Calibri"/>
          <w:sz w:val="22"/>
          <w:szCs w:val="22"/>
        </w:rPr>
      </w:pPr>
      <w:r w:rsidRPr="00737402">
        <w:rPr>
          <w:rFonts w:cs="Calibri"/>
          <w:sz w:val="22"/>
          <w:szCs w:val="22"/>
        </w:rPr>
        <w:t xml:space="preserve">The electricity sector and the transport sector together account for two-thirds of Mauritius’s greenhouse gas emissions (46% and 19%, respectively). Both sectors are undergoing rapid, transformational and inter-related change that will significantly alter their emissions profiles. </w:t>
      </w:r>
    </w:p>
    <w:p w14:paraId="5144DC57" w14:textId="77777777" w:rsidR="00737402" w:rsidRPr="00737402" w:rsidRDefault="00737402" w:rsidP="00737402">
      <w:pPr>
        <w:ind w:left="-426"/>
        <w:jc w:val="both"/>
        <w:rPr>
          <w:rFonts w:cs="Calibri"/>
          <w:sz w:val="22"/>
          <w:szCs w:val="22"/>
        </w:rPr>
      </w:pPr>
    </w:p>
    <w:p w14:paraId="59C5E4B9" w14:textId="77777777" w:rsidR="00737402" w:rsidRPr="00737402" w:rsidRDefault="00737402" w:rsidP="00737402">
      <w:pPr>
        <w:ind w:left="-426"/>
        <w:jc w:val="both"/>
        <w:rPr>
          <w:rFonts w:cs="Calibri"/>
          <w:sz w:val="22"/>
          <w:szCs w:val="22"/>
        </w:rPr>
      </w:pPr>
      <w:r w:rsidRPr="00737402">
        <w:rPr>
          <w:rFonts w:cs="Calibri"/>
          <w:sz w:val="22"/>
          <w:szCs w:val="22"/>
        </w:rPr>
        <w:lastRenderedPageBreak/>
        <w:t xml:space="preserve">Electricity demand is </w:t>
      </w:r>
      <w:r w:rsidRPr="00E265B1">
        <w:rPr>
          <w:sz w:val="22"/>
          <w:szCs w:val="22"/>
        </w:rPr>
        <w:t xml:space="preserve">increasing rapidly, from a peak of 468 MW in 2018 to 492 MW in January 2019 and likely more than 500 MW in 2020. </w:t>
      </w:r>
      <w:r>
        <w:rPr>
          <w:sz w:val="22"/>
          <w:szCs w:val="22"/>
        </w:rPr>
        <w:t xml:space="preserve">Average annual growth in GHG emissions from the electricity sector since 2000 has been 4.3%. </w:t>
      </w:r>
      <w:r w:rsidRPr="00E265B1">
        <w:rPr>
          <w:sz w:val="22"/>
          <w:szCs w:val="22"/>
        </w:rPr>
        <w:t>The Mauritian grid is emissions-intense, reliant upon coal (39%) and heavy fuel oil (38%) for the majority of power generation: the grid emission factor is officially 1</w:t>
      </w:r>
      <w:r w:rsidRPr="00E265B1">
        <w:rPr>
          <w:bCs/>
          <w:color w:val="000000"/>
          <w:sz w:val="22"/>
          <w:szCs w:val="22"/>
          <w:lang w:eastAsia="ja-JP"/>
        </w:rPr>
        <w:t>.01 tCO</w:t>
      </w:r>
      <w:r w:rsidRPr="00E265B1">
        <w:rPr>
          <w:bCs/>
          <w:color w:val="000000"/>
          <w:sz w:val="22"/>
          <w:szCs w:val="22"/>
          <w:vertAlign w:val="subscript"/>
          <w:lang w:eastAsia="ja-JP"/>
        </w:rPr>
        <w:t>2</w:t>
      </w:r>
      <w:r w:rsidRPr="00E265B1">
        <w:rPr>
          <w:bCs/>
          <w:color w:val="000000"/>
          <w:sz w:val="22"/>
          <w:szCs w:val="22"/>
          <w:lang w:eastAsia="ja-JP"/>
        </w:rPr>
        <w:t>/MWh</w:t>
      </w:r>
      <w:r w:rsidRPr="00E265B1">
        <w:rPr>
          <w:rStyle w:val="FootnoteReference"/>
          <w:bCs/>
          <w:color w:val="000000"/>
          <w:sz w:val="22"/>
          <w:szCs w:val="22"/>
          <w:lang w:eastAsia="ja-JP"/>
        </w:rPr>
        <w:footnoteReference w:id="2"/>
      </w:r>
      <w:r>
        <w:rPr>
          <w:bCs/>
          <w:color w:val="000000"/>
          <w:sz w:val="22"/>
          <w:szCs w:val="22"/>
          <w:lang w:eastAsia="ja-JP"/>
        </w:rPr>
        <w:t>,</w:t>
      </w:r>
      <w:r w:rsidRPr="00E265B1">
        <w:rPr>
          <w:bCs/>
          <w:color w:val="000000"/>
          <w:sz w:val="22"/>
          <w:szCs w:val="22"/>
          <w:lang w:eastAsia="ja-JP"/>
        </w:rPr>
        <w:t xml:space="preserve"> but </w:t>
      </w:r>
      <w:r>
        <w:rPr>
          <w:bCs/>
          <w:color w:val="000000"/>
          <w:sz w:val="22"/>
          <w:szCs w:val="22"/>
          <w:lang w:eastAsia="ja-JP"/>
        </w:rPr>
        <w:t>this is subject to uncertainty (see below)</w:t>
      </w:r>
      <w:r w:rsidRPr="00E265B1">
        <w:rPr>
          <w:bCs/>
          <w:color w:val="000000"/>
          <w:sz w:val="22"/>
          <w:szCs w:val="22"/>
          <w:lang w:eastAsia="ja-JP"/>
        </w:rPr>
        <w:t>.</w:t>
      </w:r>
      <w:r>
        <w:rPr>
          <w:bCs/>
          <w:color w:val="000000"/>
          <w:sz w:val="22"/>
          <w:szCs w:val="22"/>
          <w:lang w:eastAsia="ja-JP"/>
        </w:rPr>
        <w:t xml:space="preserve"> T</w:t>
      </w:r>
      <w:r w:rsidRPr="00E265B1">
        <w:rPr>
          <w:sz w:val="22"/>
          <w:szCs w:val="22"/>
        </w:rPr>
        <w:t>he grid is also ‘greening’ rapidly, with 18% renewable energy penetration today (mainly bagasse) and a target of at least 35% by 2025. Over 100 MW of new renewable energy – mainly wind and solar – is under development in 2019 alone. Large-scale energy efficiency efforts are</w:t>
      </w:r>
      <w:r w:rsidRPr="00737402">
        <w:rPr>
          <w:rFonts w:cs="Calibri"/>
          <w:sz w:val="22"/>
          <w:szCs w:val="22"/>
        </w:rPr>
        <w:t xml:space="preserve"> being directed at the manufacturing sector. These trends will interact in complex ways, changing not just the amount of fossil fuel that is used but also the diurnal and seasonal use of different sources of energy. </w:t>
      </w:r>
    </w:p>
    <w:p w14:paraId="17E4755C" w14:textId="77777777" w:rsidR="00737402" w:rsidRPr="00737402" w:rsidRDefault="00737402" w:rsidP="00737402">
      <w:pPr>
        <w:ind w:left="-426"/>
        <w:jc w:val="both"/>
        <w:rPr>
          <w:rFonts w:cs="Calibri"/>
          <w:sz w:val="22"/>
          <w:szCs w:val="22"/>
        </w:rPr>
      </w:pPr>
    </w:p>
    <w:p w14:paraId="32771055" w14:textId="77777777" w:rsidR="00737402" w:rsidRPr="00737402" w:rsidRDefault="00737402" w:rsidP="00737402">
      <w:pPr>
        <w:ind w:left="-426"/>
        <w:jc w:val="both"/>
        <w:rPr>
          <w:rFonts w:cs="Calibri"/>
          <w:sz w:val="22"/>
          <w:szCs w:val="22"/>
        </w:rPr>
      </w:pPr>
      <w:r w:rsidRPr="00737402">
        <w:rPr>
          <w:rFonts w:cs="Calibri"/>
          <w:sz w:val="22"/>
          <w:szCs w:val="22"/>
        </w:rPr>
        <w:t xml:space="preserve">Meanwhile, the transport sector is also growing rapidly (there are now 532,000 registered vehicles on the road, up from 508,000 in 2016 and 465,000 in 2014) and is benefitting from a programme of large infrastructure investment (fly-overs, road expansions, etc.). The government is considering blending bio-ethanol, sourced from the country’s large sugar industry, with gasoline to reduce emissions. The light-rail Metro Express, due to begin service in September 2019, will transform commuting patterns into the capital, Port Louis. As Mauritius’s only railway, it will displace road transport, both buses and private vehicles, in yet-to-be-seen ways. As an electric system drawing power from the grid (initially 11 MW for Phase 1 of the rail system), it is one manifestation of a nascent electrification revolution in the transport sector, accompanied by a tripling – to 10,000 – of the number of hybrid (electric-petrol) cars in the past three years in Mauritius and ambitious government plans to electrify the bus fleet. </w:t>
      </w:r>
    </w:p>
    <w:p w14:paraId="1CBA526A" w14:textId="77777777" w:rsidR="00737402" w:rsidRPr="00737402" w:rsidRDefault="00737402" w:rsidP="00737402">
      <w:pPr>
        <w:ind w:left="-426"/>
        <w:jc w:val="both"/>
        <w:rPr>
          <w:rFonts w:cs="Calibri"/>
          <w:sz w:val="22"/>
          <w:szCs w:val="22"/>
        </w:rPr>
      </w:pPr>
    </w:p>
    <w:p w14:paraId="32F87590" w14:textId="77777777" w:rsidR="00737402" w:rsidRPr="00737402" w:rsidRDefault="00737402" w:rsidP="00737402">
      <w:pPr>
        <w:ind w:left="-426"/>
        <w:jc w:val="both"/>
        <w:rPr>
          <w:rFonts w:cs="Calibri"/>
          <w:sz w:val="22"/>
          <w:szCs w:val="22"/>
        </w:rPr>
      </w:pPr>
      <w:r w:rsidRPr="00737402">
        <w:rPr>
          <w:rFonts w:cs="Calibri"/>
          <w:sz w:val="22"/>
          <w:szCs w:val="22"/>
        </w:rPr>
        <w:t>It is vital that these fundamental changes to the two largest greenhouse gas-emitting sub-sectors are accurately captured in the national greenhouse gas inventory. Unfortunately, the current inventory suffers from some deficiencies in this respect. Table 1 summarises the inventory improvements needed for specific sectors and sub-sectors, as identified by the National Greenhouse Gas Inventory Report (2017) and the Third National Communication (2016). These include:</w:t>
      </w:r>
    </w:p>
    <w:p w14:paraId="00C2F2FA" w14:textId="77777777" w:rsidR="00737402" w:rsidRPr="00737402" w:rsidRDefault="00737402" w:rsidP="00737402">
      <w:pPr>
        <w:ind w:left="-426"/>
        <w:jc w:val="both"/>
        <w:rPr>
          <w:rFonts w:cs="Calibri"/>
          <w:sz w:val="22"/>
          <w:szCs w:val="22"/>
        </w:rPr>
      </w:pPr>
    </w:p>
    <w:p w14:paraId="51F0163E" w14:textId="77777777" w:rsidR="00737402" w:rsidRPr="00982B0E" w:rsidRDefault="00737402" w:rsidP="00982B0E">
      <w:pPr>
        <w:pStyle w:val="ListParagraph"/>
        <w:numPr>
          <w:ilvl w:val="0"/>
          <w:numId w:val="3"/>
        </w:numPr>
        <w:jc w:val="both"/>
        <w:rPr>
          <w:u w:val="none"/>
        </w:rPr>
      </w:pPr>
      <w:r w:rsidRPr="00982B0E">
        <w:rPr>
          <w:u w:val="none"/>
        </w:rPr>
        <w:t>Despite accounting for almost half of national GHG emissions, despite the fact that all fossil fuels are imported (and hence amenable to testing), and despite the fact that the electricity sector is very concentrated – there are just 9 power plants that use fossil fuels in Mauritius – and hence easily surveyed, emissions from the Energy Industries sub-sector are estimated using an IPCC Tier 1 approach. As the Inventory Report notes (page 54), “It would be useful for the carbon content of fuels to be tested, so that country-specific carbon emission factors could be used rather than default ones from the 2006 IPCC guidelines.” Such nationally-calibrated emission factors would also have application in other sub-sectors that consume fossil fuels – notably, the Manufacturing Industry and Construction sub-sector, where fuel oil is widely used in boilers, and in the Transport sub-sector, where gasoline and diesel are used in vehicles.</w:t>
      </w:r>
    </w:p>
    <w:p w14:paraId="029235ED" w14:textId="77777777" w:rsidR="00737402" w:rsidRPr="00982B0E" w:rsidRDefault="00737402" w:rsidP="00982B0E">
      <w:pPr>
        <w:jc w:val="both"/>
      </w:pPr>
    </w:p>
    <w:p w14:paraId="3E2B652B" w14:textId="77777777" w:rsidR="00737402" w:rsidRPr="00982B0E" w:rsidRDefault="00737402" w:rsidP="00982B0E">
      <w:pPr>
        <w:pStyle w:val="ListParagraph"/>
        <w:numPr>
          <w:ilvl w:val="0"/>
          <w:numId w:val="3"/>
        </w:numPr>
        <w:jc w:val="both"/>
        <w:rPr>
          <w:u w:val="none"/>
        </w:rPr>
      </w:pPr>
      <w:r w:rsidRPr="00982B0E">
        <w:rPr>
          <w:u w:val="none"/>
        </w:rPr>
        <w:t>With regard to the Transport sub-sector, the National Transport Authority (NTA) maintains a digital vehicle database that contains information on types of vehicles (including light-duty and heavy-duty split into fuel-types), the age of vehicles, and the use of catalyst and fuel-injection technology. However, activity data – kilometres travelled – is scant and largely derived from the country’s bus fleet rather than private vehicles. Furthermore, the lack of nationally-calibrated fuel emission factors (EFs) means that the current GHG inventorisation of Transport is necessarily restricted to a Tier 1 approach.</w:t>
      </w:r>
    </w:p>
    <w:p w14:paraId="21D4F293" w14:textId="77777777" w:rsidR="00737402" w:rsidRPr="00737402" w:rsidRDefault="00737402" w:rsidP="00737402">
      <w:pPr>
        <w:jc w:val="both"/>
        <w:rPr>
          <w:rFonts w:cs="Calibri"/>
          <w:sz w:val="22"/>
          <w:szCs w:val="22"/>
        </w:rPr>
      </w:pPr>
    </w:p>
    <w:p w14:paraId="016AB49E" w14:textId="104278BF" w:rsidR="00737402" w:rsidRPr="00737402" w:rsidRDefault="00737402" w:rsidP="00737402">
      <w:pPr>
        <w:ind w:left="-426"/>
        <w:jc w:val="both"/>
        <w:rPr>
          <w:rFonts w:cs="Calibri"/>
          <w:sz w:val="22"/>
          <w:szCs w:val="22"/>
        </w:rPr>
      </w:pPr>
      <w:r w:rsidRPr="00737402">
        <w:rPr>
          <w:rFonts w:cs="Calibri"/>
          <w:sz w:val="22"/>
          <w:szCs w:val="22"/>
        </w:rPr>
        <w:t xml:space="preserve">As Table 1 indicates, other sectors and sub-sectors would also benefit from improvements to the national greenhouse gas inventory. However, many such improvements would improve the accuracy of the inventory only marginally. Iron and Steel Production, for example, forms a prominent component of the Industrial Processes and Product Use (IPPU) sector and is currently analysed using a Tier 1 approach. But Iron and Steel Production accounts for less than 1% of national GHG emissions. Other sectors and sub-sectors represent more important GHG sources or sinks: for example, Solid Waste accounts for </w:t>
      </w:r>
      <w:r w:rsidR="00AB0BB3">
        <w:rPr>
          <w:rFonts w:cs="Calibri"/>
          <w:sz w:val="22"/>
          <w:szCs w:val="22"/>
        </w:rPr>
        <w:t>almost one-fifth</w:t>
      </w:r>
      <w:r w:rsidRPr="00737402">
        <w:rPr>
          <w:rFonts w:cs="Calibri"/>
          <w:sz w:val="22"/>
          <w:szCs w:val="22"/>
        </w:rPr>
        <w:t xml:space="preserve"> of national emissions. Improved estimation of the GHG characteristics of these sectors/sub-sectors would have a tangible impact on the national inventory. But, as </w:t>
      </w:r>
      <w:r w:rsidRPr="00737402">
        <w:rPr>
          <w:rFonts w:cs="Calibri"/>
          <w:sz w:val="22"/>
          <w:szCs w:val="22"/>
        </w:rPr>
        <w:lastRenderedPageBreak/>
        <w:t xml:space="preserve">outlined below, many of these sectors/sub-sectors are already being served by other initiatives and projects and there is no need for </w:t>
      </w:r>
      <w:r w:rsidR="00114D4F">
        <w:rPr>
          <w:rFonts w:cs="Calibri"/>
          <w:sz w:val="22"/>
          <w:szCs w:val="22"/>
        </w:rPr>
        <w:t>GEF</w:t>
      </w:r>
      <w:r w:rsidRPr="00737402">
        <w:rPr>
          <w:rFonts w:cs="Calibri"/>
          <w:sz w:val="22"/>
          <w:szCs w:val="22"/>
        </w:rPr>
        <w:t xml:space="preserve"> support. The two exceptions are:</w:t>
      </w:r>
    </w:p>
    <w:p w14:paraId="759FC240" w14:textId="77777777" w:rsidR="00737402" w:rsidRPr="00737402" w:rsidRDefault="00737402" w:rsidP="00737402">
      <w:pPr>
        <w:ind w:left="-426"/>
        <w:jc w:val="both"/>
        <w:rPr>
          <w:rFonts w:cs="Calibri"/>
          <w:sz w:val="22"/>
          <w:szCs w:val="22"/>
        </w:rPr>
      </w:pPr>
    </w:p>
    <w:p w14:paraId="0CEBFB94" w14:textId="795BBB02" w:rsidR="00737402" w:rsidRPr="00982B0E" w:rsidRDefault="00737402" w:rsidP="00982B0E">
      <w:pPr>
        <w:pStyle w:val="ListParagraph"/>
        <w:numPr>
          <w:ilvl w:val="0"/>
          <w:numId w:val="5"/>
        </w:numPr>
        <w:jc w:val="both"/>
        <w:rPr>
          <w:u w:val="none"/>
        </w:rPr>
      </w:pPr>
      <w:r w:rsidRPr="00982B0E">
        <w:rPr>
          <w:u w:val="none"/>
        </w:rPr>
        <w:t xml:space="preserve">The Forestry sub-sector. Forests cover approximately </w:t>
      </w:r>
      <w:r w:rsidR="0011723E" w:rsidRPr="00982B0E">
        <w:rPr>
          <w:u w:val="none"/>
        </w:rPr>
        <w:t>2</w:t>
      </w:r>
      <w:r w:rsidR="0011723E">
        <w:rPr>
          <w:u w:val="none"/>
        </w:rPr>
        <w:t>5</w:t>
      </w:r>
      <w:r w:rsidRPr="00982B0E">
        <w:rPr>
          <w:u w:val="none"/>
        </w:rPr>
        <w:t>% of the land area of Mauritius and, as the sugarcane sector contracts, forestry and agro-forestry are being promoted by the government as alternative livelihood options for land-owners. Carbon sequestration is currently equivalent to a substantial 8% of national GHG emissions. However, this sink estimate is subject to considerable uncertainty due to gaps in activity data (notably, relating to forest on privately-held land, to which the Forestry Service has had limited access, relating to trees alongside roads and rivers</w:t>
      </w:r>
      <w:r w:rsidR="0011723E">
        <w:rPr>
          <w:u w:val="none"/>
        </w:rPr>
        <w:t>, and relating to the approximately 180 ha of mangrove forest</w:t>
      </w:r>
      <w:r w:rsidRPr="00982B0E">
        <w:rPr>
          <w:u w:val="none"/>
        </w:rPr>
        <w:t>) and gaps in carbon estimation factors (such as a complete lack of locally-calibrated allometric equations</w:t>
      </w:r>
      <w:r w:rsidR="00CF5716">
        <w:rPr>
          <w:u w:val="none"/>
        </w:rPr>
        <w:t xml:space="preserve"> and </w:t>
      </w:r>
      <w:r w:rsidRPr="00982B0E">
        <w:rPr>
          <w:u w:val="none"/>
        </w:rPr>
        <w:t>root-to-shoot ratios). While a number of baseline projects are partially addressing the former (activity-related) barrier, none is addressing the latter (estimation factors) barrier.</w:t>
      </w:r>
    </w:p>
    <w:p w14:paraId="541F1230" w14:textId="77777777" w:rsidR="00737402" w:rsidRPr="00982B0E" w:rsidRDefault="00737402" w:rsidP="00982B0E">
      <w:pPr>
        <w:jc w:val="both"/>
      </w:pPr>
    </w:p>
    <w:p w14:paraId="4709A8D5" w14:textId="20790F09" w:rsidR="00737402" w:rsidRPr="00982B0E" w:rsidRDefault="00737402" w:rsidP="00982B0E">
      <w:pPr>
        <w:pStyle w:val="ListParagraph"/>
        <w:numPr>
          <w:ilvl w:val="0"/>
          <w:numId w:val="5"/>
        </w:numPr>
        <w:jc w:val="both"/>
        <w:rPr>
          <w:u w:val="none"/>
        </w:rPr>
      </w:pPr>
      <w:r w:rsidRPr="00982B0E">
        <w:rPr>
          <w:u w:val="none"/>
        </w:rPr>
        <w:t xml:space="preserve">The Livestock component of the Agriculture sub-sector. Agriculture accounts for </w:t>
      </w:r>
      <w:r w:rsidR="007A249F">
        <w:rPr>
          <w:u w:val="none"/>
        </w:rPr>
        <w:t xml:space="preserve">nearly </w:t>
      </w:r>
      <w:r w:rsidRPr="00982B0E">
        <w:rPr>
          <w:u w:val="none"/>
        </w:rPr>
        <w:t>3% of national GHG emissions, one-quarter of which are attributable to livestock (enteric fermentation and manure). The livestock population is growing rapidly (</w:t>
      </w:r>
      <w:r w:rsidR="00730FB9" w:rsidRPr="00982B0E">
        <w:rPr>
          <w:u w:val="none"/>
        </w:rPr>
        <w:t>4</w:t>
      </w:r>
      <w:r w:rsidRPr="00982B0E">
        <w:rPr>
          <w:u w:val="none"/>
        </w:rPr>
        <w:t xml:space="preserve">% per year) in Mauritius, driven by rising incomes (and hence demand for meat) and farmers transitioning away from the declining sugarcane sector. Data paucity is specifically identified by the National Greenhouse Gas Inventory Report (p. 94) as a key barrier to estimating Livestock GHG emissions: “Some activity data and EFs had to be estimated by using expert knowledge…It is anticipated to empower FAREI [the Food and Agricultural Research and Extension Institute] to improve collection of livestock population data and develop local emission factors to reduce the uncertainty level.” Furthermore, FAREI has developed a detailed proposal to improve enteric fermentation GHG estimates that represents an immediate entry-point for </w:t>
      </w:r>
      <w:r w:rsidR="00114D4F" w:rsidRPr="00982B0E">
        <w:rPr>
          <w:u w:val="none"/>
        </w:rPr>
        <w:t>GEF</w:t>
      </w:r>
      <w:r w:rsidRPr="00982B0E">
        <w:rPr>
          <w:u w:val="none"/>
        </w:rPr>
        <w:t xml:space="preserve"> support.</w:t>
      </w:r>
    </w:p>
    <w:p w14:paraId="56FD27F3" w14:textId="48F288AB" w:rsidR="00481F41" w:rsidRDefault="00481F41" w:rsidP="00737402">
      <w:pPr>
        <w:ind w:left="-426"/>
        <w:jc w:val="both"/>
        <w:rPr>
          <w:sz w:val="22"/>
          <w:szCs w:val="22"/>
        </w:rPr>
      </w:pPr>
    </w:p>
    <w:p w14:paraId="60532215" w14:textId="77777777" w:rsidR="00737402" w:rsidRPr="00DB4325" w:rsidRDefault="00737402" w:rsidP="00737402">
      <w:pPr>
        <w:ind w:left="-426"/>
        <w:jc w:val="both"/>
        <w:rPr>
          <w:sz w:val="22"/>
          <w:szCs w:val="22"/>
          <w:u w:val="single"/>
        </w:rPr>
      </w:pPr>
      <w:r w:rsidRPr="00DB4325">
        <w:rPr>
          <w:sz w:val="22"/>
          <w:szCs w:val="22"/>
          <w:u w:val="single"/>
        </w:rPr>
        <w:t>Table 1: Improvements Required to the National Greenhouse Gas Inventory</w:t>
      </w:r>
    </w:p>
    <w:p w14:paraId="704F62E8" w14:textId="77777777" w:rsidR="00737402" w:rsidRDefault="00737402" w:rsidP="00737402">
      <w:pPr>
        <w:ind w:left="-426"/>
        <w:jc w:val="both"/>
        <w:rPr>
          <w:sz w:val="22"/>
          <w:szCs w:val="22"/>
        </w:rPr>
      </w:pPr>
    </w:p>
    <w:tbl>
      <w:tblPr>
        <w:tblStyle w:val="TableGrid"/>
        <w:tblW w:w="9782" w:type="dxa"/>
        <w:tblInd w:w="-289" w:type="dxa"/>
        <w:tblLook w:val="04A0" w:firstRow="1" w:lastRow="0" w:firstColumn="1" w:lastColumn="0" w:noHBand="0" w:noVBand="1"/>
      </w:tblPr>
      <w:tblGrid>
        <w:gridCol w:w="2012"/>
        <w:gridCol w:w="3517"/>
        <w:gridCol w:w="4253"/>
      </w:tblGrid>
      <w:tr w:rsidR="00737402" w:rsidRPr="00086EA6" w14:paraId="2C45A250" w14:textId="77777777" w:rsidTr="00687EBA">
        <w:tc>
          <w:tcPr>
            <w:tcW w:w="2012" w:type="dxa"/>
            <w:shd w:val="clear" w:color="auto" w:fill="D9D9D9" w:themeFill="background1" w:themeFillShade="D9"/>
            <w:vAlign w:val="center"/>
          </w:tcPr>
          <w:p w14:paraId="309251F9" w14:textId="77777777" w:rsidR="00737402" w:rsidRPr="00086EA6" w:rsidRDefault="00737402" w:rsidP="00194211">
            <w:pPr>
              <w:jc w:val="center"/>
              <w:rPr>
                <w:b/>
                <w:sz w:val="18"/>
                <w:szCs w:val="18"/>
              </w:rPr>
            </w:pPr>
            <w:r w:rsidRPr="00086EA6">
              <w:rPr>
                <w:b/>
                <w:sz w:val="18"/>
                <w:szCs w:val="18"/>
              </w:rPr>
              <w:t>Sector</w:t>
            </w:r>
          </w:p>
        </w:tc>
        <w:tc>
          <w:tcPr>
            <w:tcW w:w="3517" w:type="dxa"/>
            <w:shd w:val="clear" w:color="auto" w:fill="D9D9D9" w:themeFill="background1" w:themeFillShade="D9"/>
            <w:vAlign w:val="center"/>
          </w:tcPr>
          <w:p w14:paraId="785F8250" w14:textId="77777777" w:rsidR="00737402" w:rsidRPr="00086EA6" w:rsidRDefault="00737402" w:rsidP="00194211">
            <w:pPr>
              <w:jc w:val="center"/>
              <w:rPr>
                <w:b/>
                <w:sz w:val="18"/>
                <w:szCs w:val="18"/>
              </w:rPr>
            </w:pPr>
            <w:r w:rsidRPr="00086EA6">
              <w:rPr>
                <w:b/>
                <w:sz w:val="18"/>
                <w:szCs w:val="18"/>
              </w:rPr>
              <w:t xml:space="preserve">Adopted GHG Estimation Approach </w:t>
            </w:r>
          </w:p>
        </w:tc>
        <w:tc>
          <w:tcPr>
            <w:tcW w:w="4253" w:type="dxa"/>
            <w:shd w:val="clear" w:color="auto" w:fill="D9D9D9" w:themeFill="background1" w:themeFillShade="D9"/>
            <w:vAlign w:val="center"/>
          </w:tcPr>
          <w:p w14:paraId="0317347F" w14:textId="77777777" w:rsidR="00737402" w:rsidRPr="00086EA6" w:rsidRDefault="00737402" w:rsidP="00194211">
            <w:pPr>
              <w:jc w:val="center"/>
              <w:rPr>
                <w:b/>
                <w:sz w:val="18"/>
                <w:szCs w:val="18"/>
              </w:rPr>
            </w:pPr>
            <w:r w:rsidRPr="00086EA6">
              <w:rPr>
                <w:b/>
                <w:sz w:val="18"/>
                <w:szCs w:val="18"/>
              </w:rPr>
              <w:t>Improvements Required</w:t>
            </w:r>
          </w:p>
        </w:tc>
      </w:tr>
      <w:tr w:rsidR="00737402" w:rsidRPr="00086EA6" w14:paraId="7CD0C142" w14:textId="77777777" w:rsidTr="00194211">
        <w:tc>
          <w:tcPr>
            <w:tcW w:w="2012" w:type="dxa"/>
            <w:vAlign w:val="center"/>
          </w:tcPr>
          <w:p w14:paraId="0670970F" w14:textId="77777777" w:rsidR="00737402" w:rsidRPr="00086EA6" w:rsidRDefault="00737402" w:rsidP="00194211">
            <w:pPr>
              <w:jc w:val="center"/>
              <w:rPr>
                <w:i/>
                <w:sz w:val="18"/>
                <w:szCs w:val="18"/>
              </w:rPr>
            </w:pPr>
            <w:r w:rsidRPr="00086EA6">
              <w:rPr>
                <w:i/>
                <w:sz w:val="18"/>
                <w:szCs w:val="18"/>
              </w:rPr>
              <w:t>% of national GHG emissions (excluding FOLU sink)</w:t>
            </w:r>
          </w:p>
        </w:tc>
        <w:tc>
          <w:tcPr>
            <w:tcW w:w="7770" w:type="dxa"/>
            <w:gridSpan w:val="2"/>
            <w:vAlign w:val="center"/>
          </w:tcPr>
          <w:p w14:paraId="285FC336" w14:textId="77777777" w:rsidR="00737402" w:rsidRPr="00086EA6" w:rsidRDefault="00737402" w:rsidP="00194211">
            <w:pPr>
              <w:jc w:val="center"/>
              <w:rPr>
                <w:i/>
                <w:sz w:val="18"/>
                <w:szCs w:val="18"/>
              </w:rPr>
            </w:pPr>
            <w:r w:rsidRPr="00086EA6">
              <w:rPr>
                <w:i/>
                <w:sz w:val="18"/>
                <w:szCs w:val="18"/>
              </w:rPr>
              <w:t>(As noted in the National GHG Inventory and Third National Communication)</w:t>
            </w:r>
          </w:p>
        </w:tc>
      </w:tr>
      <w:tr w:rsidR="00737402" w:rsidRPr="00086EA6" w14:paraId="00EA4879" w14:textId="77777777" w:rsidTr="00737402">
        <w:tc>
          <w:tcPr>
            <w:tcW w:w="2012" w:type="dxa"/>
            <w:shd w:val="clear" w:color="auto" w:fill="D9D9D9"/>
            <w:vAlign w:val="center"/>
          </w:tcPr>
          <w:p w14:paraId="6F930E97" w14:textId="77777777" w:rsidR="00737402" w:rsidRPr="00086EA6" w:rsidRDefault="00737402" w:rsidP="00194211">
            <w:pPr>
              <w:rPr>
                <w:sz w:val="18"/>
                <w:szCs w:val="18"/>
              </w:rPr>
            </w:pPr>
            <w:r w:rsidRPr="00086EA6">
              <w:rPr>
                <w:sz w:val="18"/>
                <w:szCs w:val="18"/>
              </w:rPr>
              <w:t>Energy (77%)</w:t>
            </w:r>
          </w:p>
        </w:tc>
        <w:tc>
          <w:tcPr>
            <w:tcW w:w="3517" w:type="dxa"/>
            <w:shd w:val="clear" w:color="auto" w:fill="D9D9D9"/>
            <w:vAlign w:val="center"/>
          </w:tcPr>
          <w:p w14:paraId="77A39C61" w14:textId="77777777" w:rsidR="00737402" w:rsidRPr="00086EA6" w:rsidRDefault="00737402" w:rsidP="00194211">
            <w:pPr>
              <w:rPr>
                <w:sz w:val="18"/>
                <w:szCs w:val="18"/>
                <w:highlight w:val="yellow"/>
              </w:rPr>
            </w:pPr>
            <w:r w:rsidRPr="00086EA6">
              <w:rPr>
                <w:sz w:val="18"/>
                <w:szCs w:val="18"/>
              </w:rPr>
              <w:t>Tier 1 approaches were adopted for all energy sub-sectors, using IPCC default emission factors. Fugitive emissions from fuels were not estimated.</w:t>
            </w:r>
          </w:p>
        </w:tc>
        <w:tc>
          <w:tcPr>
            <w:tcW w:w="4253" w:type="dxa"/>
            <w:shd w:val="clear" w:color="auto" w:fill="D9D9D9"/>
            <w:vAlign w:val="center"/>
          </w:tcPr>
          <w:p w14:paraId="5AB33A3C" w14:textId="77777777" w:rsidR="00737402" w:rsidRPr="00086EA6" w:rsidRDefault="00737402" w:rsidP="00194211">
            <w:pPr>
              <w:rPr>
                <w:i/>
                <w:sz w:val="18"/>
                <w:szCs w:val="18"/>
              </w:rPr>
            </w:pPr>
            <w:r w:rsidRPr="00086EA6">
              <w:rPr>
                <w:i/>
                <w:sz w:val="18"/>
                <w:szCs w:val="18"/>
              </w:rPr>
              <w:t>Inventory, page 7:</w:t>
            </w:r>
          </w:p>
          <w:p w14:paraId="28CDF986" w14:textId="77777777" w:rsidR="00737402" w:rsidRPr="00086EA6" w:rsidRDefault="00737402" w:rsidP="00194211">
            <w:pPr>
              <w:rPr>
                <w:sz w:val="18"/>
                <w:szCs w:val="18"/>
                <w:highlight w:val="yellow"/>
              </w:rPr>
            </w:pPr>
            <w:r w:rsidRPr="00086EA6">
              <w:rPr>
                <w:sz w:val="18"/>
                <w:szCs w:val="18"/>
              </w:rPr>
              <w:t>“The adopted approach is the simplest Tier 1 but with country-specific net calorific values.”</w:t>
            </w:r>
          </w:p>
        </w:tc>
      </w:tr>
      <w:tr w:rsidR="00737402" w:rsidRPr="00086EA6" w14:paraId="10B6B32F" w14:textId="77777777" w:rsidTr="00194211">
        <w:tc>
          <w:tcPr>
            <w:tcW w:w="2012" w:type="dxa"/>
            <w:vAlign w:val="center"/>
          </w:tcPr>
          <w:p w14:paraId="36EB05AD" w14:textId="77777777" w:rsidR="00737402" w:rsidRPr="00982B0E" w:rsidRDefault="00737402" w:rsidP="00982B0E">
            <w:pPr>
              <w:pStyle w:val="ListParagraph"/>
              <w:rPr>
                <w:sz w:val="18"/>
                <w:szCs w:val="18"/>
                <w:u w:val="none"/>
              </w:rPr>
            </w:pPr>
            <w:r w:rsidRPr="00982B0E">
              <w:rPr>
                <w:sz w:val="18"/>
                <w:szCs w:val="18"/>
                <w:u w:val="none"/>
              </w:rPr>
              <w:t>Energy Industries (46%)</w:t>
            </w:r>
          </w:p>
        </w:tc>
        <w:tc>
          <w:tcPr>
            <w:tcW w:w="3517" w:type="dxa"/>
            <w:vAlign w:val="center"/>
          </w:tcPr>
          <w:p w14:paraId="71458EC5" w14:textId="77777777" w:rsidR="00737402" w:rsidRPr="00086EA6" w:rsidRDefault="00737402" w:rsidP="00194211">
            <w:pPr>
              <w:rPr>
                <w:sz w:val="18"/>
                <w:szCs w:val="18"/>
              </w:rPr>
            </w:pPr>
            <w:r w:rsidRPr="00086EA6">
              <w:rPr>
                <w:sz w:val="18"/>
                <w:szCs w:val="18"/>
              </w:rPr>
              <w:t>Tier 1 approach but with country-specific net calorific values (NCVs), which were derived from the energy statistics maintained by Statistics Mauritius. Mass and volume data on fuel imports were provided by the State Trading Corporation (STC). Consumption data was obtained from CEB, IPPs and Statistics Mauritius. Default emission factors from the 2006 IPCC guidelines were used.</w:t>
            </w:r>
          </w:p>
        </w:tc>
        <w:tc>
          <w:tcPr>
            <w:tcW w:w="4253" w:type="dxa"/>
            <w:vAlign w:val="center"/>
          </w:tcPr>
          <w:p w14:paraId="14830777" w14:textId="77777777" w:rsidR="00737402" w:rsidRPr="00086EA6" w:rsidRDefault="00737402" w:rsidP="00194211">
            <w:pPr>
              <w:rPr>
                <w:i/>
                <w:sz w:val="18"/>
                <w:szCs w:val="18"/>
              </w:rPr>
            </w:pPr>
            <w:r w:rsidRPr="00086EA6">
              <w:rPr>
                <w:i/>
                <w:sz w:val="18"/>
                <w:szCs w:val="18"/>
              </w:rPr>
              <w:t>Inventory, page 54:</w:t>
            </w:r>
          </w:p>
          <w:p w14:paraId="01C2294A" w14:textId="77777777" w:rsidR="00737402" w:rsidRPr="00086EA6" w:rsidRDefault="00737402" w:rsidP="00194211">
            <w:pPr>
              <w:rPr>
                <w:sz w:val="18"/>
                <w:szCs w:val="18"/>
              </w:rPr>
            </w:pPr>
            <w:r w:rsidRPr="00086EA6">
              <w:rPr>
                <w:sz w:val="18"/>
                <w:szCs w:val="18"/>
              </w:rPr>
              <w:t xml:space="preserve"> “The activity data used for Energy Industries are quite detailed and obtained at plant level. However, this is not the case for EFs…It would be useful for the carbon content of fuels to be tested, so that country-specific carbon emission factors could be used rather than default ones from the 2006 IPCC guidelines.”</w:t>
            </w:r>
          </w:p>
        </w:tc>
      </w:tr>
      <w:tr w:rsidR="00737402" w:rsidRPr="00086EA6" w14:paraId="6CB51F65" w14:textId="77777777" w:rsidTr="00194211">
        <w:tc>
          <w:tcPr>
            <w:tcW w:w="2012" w:type="dxa"/>
            <w:vAlign w:val="center"/>
          </w:tcPr>
          <w:p w14:paraId="4C04C780" w14:textId="77777777" w:rsidR="00737402" w:rsidRPr="00982B0E" w:rsidRDefault="00737402" w:rsidP="00982B0E">
            <w:pPr>
              <w:pStyle w:val="ListParagraph"/>
              <w:rPr>
                <w:sz w:val="18"/>
                <w:szCs w:val="18"/>
                <w:u w:val="none"/>
              </w:rPr>
            </w:pPr>
            <w:r w:rsidRPr="00982B0E">
              <w:rPr>
                <w:sz w:val="18"/>
                <w:szCs w:val="18"/>
                <w:u w:val="none"/>
              </w:rPr>
              <w:t>Manufacturing Industry and Construction (7%)</w:t>
            </w:r>
          </w:p>
        </w:tc>
        <w:tc>
          <w:tcPr>
            <w:tcW w:w="3517" w:type="dxa"/>
            <w:vAlign w:val="center"/>
          </w:tcPr>
          <w:p w14:paraId="6E665788" w14:textId="77777777" w:rsidR="00737402" w:rsidRPr="00086EA6" w:rsidRDefault="00737402" w:rsidP="00194211">
            <w:pPr>
              <w:rPr>
                <w:sz w:val="18"/>
                <w:szCs w:val="18"/>
              </w:rPr>
            </w:pPr>
            <w:r w:rsidRPr="00086EA6">
              <w:rPr>
                <w:sz w:val="18"/>
                <w:szCs w:val="18"/>
              </w:rPr>
              <w:t>The activity data comprised the fuel used for the Manufacturing Sector in the Energy Statistics produced by Statistics Mauritius. The split among the manufacturing sub-categories required the estimations of fuels used in boilers based on the proportions of boilers available in each of the sub-categories.</w:t>
            </w:r>
          </w:p>
        </w:tc>
        <w:tc>
          <w:tcPr>
            <w:tcW w:w="4253" w:type="dxa"/>
            <w:vAlign w:val="center"/>
          </w:tcPr>
          <w:p w14:paraId="6738FB08" w14:textId="77777777" w:rsidR="00737402" w:rsidRPr="00086EA6" w:rsidRDefault="00737402" w:rsidP="00194211">
            <w:pPr>
              <w:rPr>
                <w:i/>
                <w:sz w:val="18"/>
                <w:szCs w:val="18"/>
              </w:rPr>
            </w:pPr>
            <w:r w:rsidRPr="00086EA6">
              <w:rPr>
                <w:i/>
                <w:sz w:val="18"/>
                <w:szCs w:val="18"/>
              </w:rPr>
              <w:t>Inventory, page 55:</w:t>
            </w:r>
          </w:p>
          <w:p w14:paraId="10036136" w14:textId="77777777" w:rsidR="00737402" w:rsidRPr="00086EA6" w:rsidRDefault="00737402" w:rsidP="00194211">
            <w:pPr>
              <w:rPr>
                <w:sz w:val="18"/>
                <w:szCs w:val="18"/>
              </w:rPr>
            </w:pPr>
            <w:r w:rsidRPr="00086EA6">
              <w:rPr>
                <w:sz w:val="18"/>
                <w:szCs w:val="18"/>
              </w:rPr>
              <w:t>“The approach adopted was Tier 1 since not enough country-specific EFs were available.”</w:t>
            </w:r>
          </w:p>
        </w:tc>
      </w:tr>
      <w:tr w:rsidR="00737402" w:rsidRPr="00086EA6" w14:paraId="2121F5CA" w14:textId="77777777" w:rsidTr="00194211">
        <w:tc>
          <w:tcPr>
            <w:tcW w:w="2012" w:type="dxa"/>
            <w:vAlign w:val="center"/>
          </w:tcPr>
          <w:p w14:paraId="7B824A2B" w14:textId="2EEE6716" w:rsidR="00737402" w:rsidRPr="00982B0E" w:rsidRDefault="00737402" w:rsidP="00982B0E">
            <w:pPr>
              <w:pStyle w:val="ListParagraph"/>
              <w:rPr>
                <w:sz w:val="18"/>
                <w:szCs w:val="18"/>
                <w:u w:val="none"/>
              </w:rPr>
            </w:pPr>
            <w:r w:rsidRPr="00982B0E">
              <w:rPr>
                <w:sz w:val="18"/>
                <w:szCs w:val="18"/>
                <w:u w:val="none"/>
              </w:rPr>
              <w:t>Transport (19%)</w:t>
            </w:r>
          </w:p>
        </w:tc>
        <w:tc>
          <w:tcPr>
            <w:tcW w:w="3517" w:type="dxa"/>
            <w:vAlign w:val="center"/>
          </w:tcPr>
          <w:p w14:paraId="506443CA" w14:textId="77777777" w:rsidR="00737402" w:rsidRPr="00086EA6" w:rsidRDefault="00737402" w:rsidP="00194211">
            <w:pPr>
              <w:rPr>
                <w:sz w:val="18"/>
                <w:szCs w:val="18"/>
              </w:rPr>
            </w:pPr>
            <w:r w:rsidRPr="00086EA6">
              <w:rPr>
                <w:sz w:val="18"/>
                <w:szCs w:val="18"/>
              </w:rPr>
              <w:t xml:space="preserve">Tier 1 approach used. The NTA maintains a vehicle database containing information on types of vehicle (including light-duty and heavy-duty split into fuel-types), age of vehicle, and use of catalyst and fuel-injection technology. Fuel consumption and vehicle </w:t>
            </w:r>
            <w:r w:rsidRPr="00086EA6">
              <w:rPr>
                <w:sz w:val="18"/>
                <w:szCs w:val="18"/>
              </w:rPr>
              <w:lastRenderedPageBreak/>
              <w:t>km travelled estimated from sample surveys of large vehicle fleet operators.</w:t>
            </w:r>
          </w:p>
        </w:tc>
        <w:tc>
          <w:tcPr>
            <w:tcW w:w="4253" w:type="dxa"/>
            <w:vAlign w:val="center"/>
          </w:tcPr>
          <w:p w14:paraId="31897313" w14:textId="77777777" w:rsidR="00737402" w:rsidRPr="00086EA6" w:rsidRDefault="00737402" w:rsidP="00194211">
            <w:pPr>
              <w:rPr>
                <w:i/>
                <w:sz w:val="18"/>
                <w:szCs w:val="18"/>
              </w:rPr>
            </w:pPr>
            <w:r w:rsidRPr="00086EA6">
              <w:rPr>
                <w:i/>
                <w:sz w:val="18"/>
                <w:szCs w:val="18"/>
              </w:rPr>
              <w:lastRenderedPageBreak/>
              <w:t>Inventory, page 61-62:</w:t>
            </w:r>
          </w:p>
          <w:p w14:paraId="01107FD1" w14:textId="77777777" w:rsidR="00737402" w:rsidRPr="00086EA6" w:rsidRDefault="00737402" w:rsidP="00194211">
            <w:pPr>
              <w:rPr>
                <w:sz w:val="18"/>
                <w:szCs w:val="18"/>
              </w:rPr>
            </w:pPr>
            <w:r w:rsidRPr="00086EA6">
              <w:rPr>
                <w:sz w:val="18"/>
                <w:szCs w:val="18"/>
              </w:rPr>
              <w:t>“The lack of country-specific EFs prevented use of Tier 2 or Tier 3 for CO</w:t>
            </w:r>
            <w:r w:rsidRPr="00086EA6">
              <w:rPr>
                <w:sz w:val="18"/>
                <w:szCs w:val="18"/>
                <w:vertAlign w:val="subscript"/>
              </w:rPr>
              <w:t>2</w:t>
            </w:r>
            <w:r w:rsidRPr="00086EA6">
              <w:rPr>
                <w:sz w:val="18"/>
                <w:szCs w:val="18"/>
              </w:rPr>
              <w:t xml:space="preserve"> emissions.”</w:t>
            </w:r>
          </w:p>
          <w:p w14:paraId="71041538" w14:textId="77777777" w:rsidR="00737402" w:rsidRPr="00086EA6" w:rsidRDefault="00737402" w:rsidP="00194211">
            <w:pPr>
              <w:rPr>
                <w:sz w:val="18"/>
                <w:szCs w:val="18"/>
              </w:rPr>
            </w:pPr>
          </w:p>
          <w:p w14:paraId="44AEEA33" w14:textId="77777777" w:rsidR="00737402" w:rsidRPr="00086EA6" w:rsidRDefault="00737402" w:rsidP="00194211">
            <w:pPr>
              <w:rPr>
                <w:i/>
                <w:sz w:val="18"/>
                <w:szCs w:val="18"/>
              </w:rPr>
            </w:pPr>
            <w:r w:rsidRPr="00086EA6">
              <w:rPr>
                <w:i/>
                <w:sz w:val="18"/>
                <w:szCs w:val="18"/>
              </w:rPr>
              <w:t>Inventory, page 145:</w:t>
            </w:r>
          </w:p>
          <w:p w14:paraId="055B7847" w14:textId="77777777" w:rsidR="00737402" w:rsidRPr="00086EA6" w:rsidRDefault="00737402" w:rsidP="00194211">
            <w:pPr>
              <w:rPr>
                <w:sz w:val="18"/>
                <w:szCs w:val="18"/>
              </w:rPr>
            </w:pPr>
            <w:r w:rsidRPr="00086EA6">
              <w:rPr>
                <w:sz w:val="18"/>
                <w:szCs w:val="18"/>
              </w:rPr>
              <w:lastRenderedPageBreak/>
              <w:t>“Need for [data relating to] vehicle kilometres (surveys), vehicle emissions (tests) and country-specific emission factors.”</w:t>
            </w:r>
          </w:p>
        </w:tc>
      </w:tr>
      <w:tr w:rsidR="00737402" w:rsidRPr="00086EA6" w14:paraId="3623E0BF" w14:textId="77777777" w:rsidTr="00194211">
        <w:tc>
          <w:tcPr>
            <w:tcW w:w="2012" w:type="dxa"/>
            <w:vAlign w:val="center"/>
          </w:tcPr>
          <w:p w14:paraId="2EDF107D" w14:textId="77777777" w:rsidR="00737402" w:rsidRPr="00982B0E" w:rsidRDefault="00737402" w:rsidP="00982B0E">
            <w:pPr>
              <w:pStyle w:val="ListParagraph"/>
              <w:rPr>
                <w:sz w:val="18"/>
                <w:szCs w:val="18"/>
                <w:u w:val="none"/>
              </w:rPr>
            </w:pPr>
            <w:r w:rsidRPr="00982B0E">
              <w:rPr>
                <w:sz w:val="18"/>
                <w:szCs w:val="18"/>
                <w:u w:val="none"/>
              </w:rPr>
              <w:lastRenderedPageBreak/>
              <w:t>Energy Other Sectors (4%)</w:t>
            </w:r>
          </w:p>
        </w:tc>
        <w:tc>
          <w:tcPr>
            <w:tcW w:w="3517" w:type="dxa"/>
            <w:vAlign w:val="center"/>
          </w:tcPr>
          <w:p w14:paraId="3E88578A" w14:textId="77777777" w:rsidR="00737402" w:rsidRPr="00086EA6" w:rsidRDefault="00737402" w:rsidP="00194211">
            <w:pPr>
              <w:rPr>
                <w:sz w:val="18"/>
                <w:szCs w:val="18"/>
              </w:rPr>
            </w:pPr>
            <w:r w:rsidRPr="00086EA6">
              <w:rPr>
                <w:sz w:val="18"/>
                <w:szCs w:val="18"/>
              </w:rPr>
              <w:t>Tier 1 approach adopted. Activity data, primarily use of LPG by households and the commercial sector, was obtained from the national energy statistics.</w:t>
            </w:r>
          </w:p>
        </w:tc>
        <w:tc>
          <w:tcPr>
            <w:tcW w:w="4253" w:type="dxa"/>
            <w:vAlign w:val="center"/>
          </w:tcPr>
          <w:p w14:paraId="0F931197" w14:textId="77777777" w:rsidR="00737402" w:rsidRPr="00086EA6" w:rsidRDefault="00737402" w:rsidP="00194211">
            <w:pPr>
              <w:rPr>
                <w:i/>
                <w:sz w:val="18"/>
                <w:szCs w:val="18"/>
              </w:rPr>
            </w:pPr>
            <w:r w:rsidRPr="00086EA6">
              <w:rPr>
                <w:i/>
                <w:sz w:val="18"/>
                <w:szCs w:val="18"/>
              </w:rPr>
              <w:t>Inventory, page 69:</w:t>
            </w:r>
          </w:p>
          <w:p w14:paraId="18169A23" w14:textId="77777777" w:rsidR="00737402" w:rsidRPr="00086EA6" w:rsidRDefault="00737402" w:rsidP="00194211">
            <w:pPr>
              <w:rPr>
                <w:sz w:val="18"/>
                <w:szCs w:val="18"/>
              </w:rPr>
            </w:pPr>
            <w:r w:rsidRPr="00086EA6">
              <w:rPr>
                <w:sz w:val="18"/>
                <w:szCs w:val="18"/>
              </w:rPr>
              <w:t>“The activity data used for this category was sufficiently detailed…Improved development of sub-sector EFs will ensure more accuracy.”</w:t>
            </w:r>
          </w:p>
        </w:tc>
      </w:tr>
      <w:tr w:rsidR="00737402" w:rsidRPr="00086EA6" w14:paraId="52FBF1F6" w14:textId="77777777" w:rsidTr="00737402">
        <w:tc>
          <w:tcPr>
            <w:tcW w:w="2012" w:type="dxa"/>
            <w:shd w:val="clear" w:color="auto" w:fill="D9D9D9"/>
            <w:vAlign w:val="center"/>
          </w:tcPr>
          <w:p w14:paraId="1971C36D" w14:textId="77777777" w:rsidR="00737402" w:rsidRPr="00086EA6" w:rsidRDefault="00737402" w:rsidP="00194211">
            <w:pPr>
              <w:rPr>
                <w:sz w:val="18"/>
                <w:szCs w:val="18"/>
              </w:rPr>
            </w:pPr>
            <w:r w:rsidRPr="00086EA6">
              <w:rPr>
                <w:sz w:val="18"/>
                <w:szCs w:val="18"/>
              </w:rPr>
              <w:t>Industrial Processes and Product Use (IPPU) (1%)</w:t>
            </w:r>
          </w:p>
        </w:tc>
        <w:tc>
          <w:tcPr>
            <w:tcW w:w="3517" w:type="dxa"/>
            <w:shd w:val="clear" w:color="auto" w:fill="D9D9D9"/>
            <w:vAlign w:val="center"/>
          </w:tcPr>
          <w:p w14:paraId="3C62DD60" w14:textId="77777777" w:rsidR="00737402" w:rsidRPr="00086EA6" w:rsidRDefault="00737402" w:rsidP="00194211">
            <w:pPr>
              <w:rPr>
                <w:sz w:val="18"/>
                <w:szCs w:val="18"/>
              </w:rPr>
            </w:pPr>
            <w:r w:rsidRPr="00086EA6">
              <w:rPr>
                <w:sz w:val="18"/>
                <w:szCs w:val="18"/>
              </w:rPr>
              <w:t>Source categories covered by the inventory are Mineral Products (primarily Metal Production – Iron &amp; Steel) and ODS substitutes. A Tier 1 approach was used.</w:t>
            </w:r>
          </w:p>
        </w:tc>
        <w:tc>
          <w:tcPr>
            <w:tcW w:w="4253" w:type="dxa"/>
            <w:shd w:val="clear" w:color="auto" w:fill="D9D9D9"/>
            <w:vAlign w:val="center"/>
          </w:tcPr>
          <w:p w14:paraId="37D38F3B" w14:textId="77777777" w:rsidR="00737402" w:rsidRPr="00086EA6" w:rsidRDefault="00737402" w:rsidP="00194211">
            <w:pPr>
              <w:rPr>
                <w:i/>
                <w:sz w:val="18"/>
                <w:szCs w:val="18"/>
              </w:rPr>
            </w:pPr>
            <w:r w:rsidRPr="00086EA6">
              <w:rPr>
                <w:i/>
                <w:sz w:val="18"/>
                <w:szCs w:val="18"/>
              </w:rPr>
              <w:t>Inventory, page 72:</w:t>
            </w:r>
          </w:p>
          <w:p w14:paraId="4A2A9EBA" w14:textId="77777777" w:rsidR="00737402" w:rsidRPr="00086EA6" w:rsidRDefault="00737402" w:rsidP="00194211">
            <w:pPr>
              <w:rPr>
                <w:sz w:val="18"/>
                <w:szCs w:val="18"/>
              </w:rPr>
            </w:pPr>
            <w:r w:rsidRPr="00086EA6">
              <w:rPr>
                <w:sz w:val="18"/>
                <w:szCs w:val="18"/>
              </w:rPr>
              <w:t>“Although Iron &amp; Steel Production is a key category within IPPU, its contribution to GHG emissions is only minor.”</w:t>
            </w:r>
          </w:p>
          <w:p w14:paraId="60182CAC" w14:textId="77777777" w:rsidR="00737402" w:rsidRPr="00086EA6" w:rsidRDefault="00737402" w:rsidP="00194211">
            <w:pPr>
              <w:rPr>
                <w:sz w:val="18"/>
                <w:szCs w:val="18"/>
              </w:rPr>
            </w:pPr>
          </w:p>
          <w:p w14:paraId="1A7699EE" w14:textId="77777777" w:rsidR="00737402" w:rsidRPr="00086EA6" w:rsidRDefault="00737402" w:rsidP="00194211">
            <w:pPr>
              <w:rPr>
                <w:sz w:val="18"/>
                <w:szCs w:val="18"/>
              </w:rPr>
            </w:pPr>
            <w:r w:rsidRPr="00086EA6">
              <w:rPr>
                <w:sz w:val="18"/>
                <w:szCs w:val="18"/>
              </w:rPr>
              <w:t>“Following 2006 IPCC guidelines, since IPPU is not a key category, not much time and effort was put to use to develop higher-tier methods for this category.”</w:t>
            </w:r>
          </w:p>
        </w:tc>
      </w:tr>
      <w:tr w:rsidR="00737402" w:rsidRPr="00086EA6" w14:paraId="18F2B769" w14:textId="77777777" w:rsidTr="00737402">
        <w:tc>
          <w:tcPr>
            <w:tcW w:w="2012" w:type="dxa"/>
            <w:shd w:val="clear" w:color="auto" w:fill="D9D9D9"/>
            <w:vAlign w:val="center"/>
          </w:tcPr>
          <w:p w14:paraId="267E548B" w14:textId="4F22290C" w:rsidR="00737402" w:rsidRPr="00086EA6" w:rsidRDefault="00737402" w:rsidP="00660008">
            <w:pPr>
              <w:rPr>
                <w:sz w:val="18"/>
                <w:szCs w:val="18"/>
              </w:rPr>
            </w:pPr>
            <w:r w:rsidRPr="00086EA6">
              <w:rPr>
                <w:sz w:val="18"/>
                <w:szCs w:val="18"/>
              </w:rPr>
              <w:t xml:space="preserve">Agriculture, Forestry and Other Land Use (AFOLU) </w:t>
            </w:r>
          </w:p>
        </w:tc>
        <w:tc>
          <w:tcPr>
            <w:tcW w:w="3517" w:type="dxa"/>
            <w:shd w:val="clear" w:color="auto" w:fill="D9D9D9"/>
            <w:vAlign w:val="center"/>
          </w:tcPr>
          <w:p w14:paraId="577E1ABB" w14:textId="77777777" w:rsidR="00737402" w:rsidRPr="00086EA6" w:rsidRDefault="00737402" w:rsidP="00194211">
            <w:pPr>
              <w:rPr>
                <w:sz w:val="18"/>
                <w:szCs w:val="18"/>
              </w:rPr>
            </w:pPr>
            <w:r w:rsidRPr="00086EA6">
              <w:rPr>
                <w:sz w:val="18"/>
                <w:szCs w:val="18"/>
              </w:rPr>
              <w:t>GHG sources include enteric fermentation, manure management, agricultural soils and field burning.</w:t>
            </w:r>
          </w:p>
        </w:tc>
        <w:tc>
          <w:tcPr>
            <w:tcW w:w="4253" w:type="dxa"/>
            <w:shd w:val="clear" w:color="auto" w:fill="D9D9D9"/>
            <w:vAlign w:val="center"/>
          </w:tcPr>
          <w:p w14:paraId="1BD467A7" w14:textId="77777777" w:rsidR="00737402" w:rsidRPr="00086EA6" w:rsidRDefault="00737402" w:rsidP="00194211">
            <w:pPr>
              <w:rPr>
                <w:i/>
                <w:sz w:val="18"/>
                <w:szCs w:val="18"/>
              </w:rPr>
            </w:pPr>
            <w:r w:rsidRPr="00086EA6">
              <w:rPr>
                <w:i/>
                <w:sz w:val="18"/>
                <w:szCs w:val="18"/>
              </w:rPr>
              <w:t>Inventory, page 86:</w:t>
            </w:r>
          </w:p>
          <w:p w14:paraId="3E9944D7" w14:textId="77777777" w:rsidR="00737402" w:rsidRPr="00086EA6" w:rsidRDefault="00737402" w:rsidP="00194211">
            <w:pPr>
              <w:rPr>
                <w:sz w:val="18"/>
                <w:szCs w:val="18"/>
              </w:rPr>
            </w:pPr>
            <w:r w:rsidRPr="00086EA6">
              <w:rPr>
                <w:sz w:val="18"/>
                <w:szCs w:val="18"/>
              </w:rPr>
              <w:t xml:space="preserve">“It is recognised that this sector needs improvement.” </w:t>
            </w:r>
          </w:p>
        </w:tc>
      </w:tr>
      <w:tr w:rsidR="00737402" w:rsidRPr="00086EA6" w14:paraId="5E7845CE" w14:textId="77777777" w:rsidTr="00194211">
        <w:tc>
          <w:tcPr>
            <w:tcW w:w="2012" w:type="dxa"/>
            <w:vAlign w:val="center"/>
          </w:tcPr>
          <w:p w14:paraId="3272FFAD" w14:textId="77777777" w:rsidR="00737402" w:rsidRPr="00982B0E" w:rsidRDefault="00737402" w:rsidP="00982B0E">
            <w:pPr>
              <w:pStyle w:val="ListParagraph"/>
              <w:rPr>
                <w:sz w:val="18"/>
                <w:szCs w:val="18"/>
                <w:u w:val="none"/>
              </w:rPr>
            </w:pPr>
            <w:r w:rsidRPr="00982B0E">
              <w:rPr>
                <w:sz w:val="18"/>
                <w:szCs w:val="18"/>
                <w:u w:val="none"/>
              </w:rPr>
              <w:t>Agriculture (3%)</w:t>
            </w:r>
          </w:p>
        </w:tc>
        <w:tc>
          <w:tcPr>
            <w:tcW w:w="3517" w:type="dxa"/>
            <w:vAlign w:val="center"/>
          </w:tcPr>
          <w:p w14:paraId="00C76319" w14:textId="77777777" w:rsidR="00737402" w:rsidRPr="00086EA6" w:rsidRDefault="00737402" w:rsidP="00194211">
            <w:pPr>
              <w:rPr>
                <w:sz w:val="18"/>
                <w:szCs w:val="18"/>
              </w:rPr>
            </w:pPr>
            <w:r w:rsidRPr="00086EA6">
              <w:rPr>
                <w:sz w:val="18"/>
                <w:szCs w:val="18"/>
              </w:rPr>
              <w:t xml:space="preserve">Most agricultural activity data was obtained locally, but EFs used were Tier 1 default factors drawn from the IPCC 2006 Guidelines. </w:t>
            </w:r>
          </w:p>
        </w:tc>
        <w:tc>
          <w:tcPr>
            <w:tcW w:w="4253" w:type="dxa"/>
            <w:vAlign w:val="center"/>
          </w:tcPr>
          <w:p w14:paraId="7C3161FD" w14:textId="77777777" w:rsidR="00737402" w:rsidRPr="00086EA6" w:rsidRDefault="00737402" w:rsidP="00194211">
            <w:pPr>
              <w:rPr>
                <w:i/>
                <w:sz w:val="18"/>
                <w:szCs w:val="18"/>
              </w:rPr>
            </w:pPr>
            <w:r w:rsidRPr="00086EA6">
              <w:rPr>
                <w:i/>
                <w:sz w:val="18"/>
                <w:szCs w:val="18"/>
              </w:rPr>
              <w:t>Inventory, page 94:</w:t>
            </w:r>
          </w:p>
          <w:p w14:paraId="0D8911B0" w14:textId="77777777" w:rsidR="00737402" w:rsidRPr="00086EA6" w:rsidRDefault="00737402" w:rsidP="00194211">
            <w:pPr>
              <w:rPr>
                <w:sz w:val="18"/>
                <w:szCs w:val="18"/>
              </w:rPr>
            </w:pPr>
            <w:r w:rsidRPr="00086EA6">
              <w:rPr>
                <w:sz w:val="18"/>
                <w:szCs w:val="18"/>
              </w:rPr>
              <w:t>“Some activity data and EFs had to be estimated by using expert knowledge…It is anticipated to empower FAREI to improve collection of livestock population data and develop local EFs to reduce the uncertainty level.”</w:t>
            </w:r>
          </w:p>
        </w:tc>
      </w:tr>
      <w:tr w:rsidR="00737402" w:rsidRPr="00086EA6" w14:paraId="355A0BE1" w14:textId="77777777" w:rsidTr="00194211">
        <w:tc>
          <w:tcPr>
            <w:tcW w:w="2012" w:type="dxa"/>
            <w:vAlign w:val="center"/>
          </w:tcPr>
          <w:p w14:paraId="471AEADE" w14:textId="77777777" w:rsidR="00737402" w:rsidRPr="00982B0E" w:rsidRDefault="00737402" w:rsidP="00982B0E">
            <w:pPr>
              <w:pStyle w:val="ListParagraph"/>
              <w:rPr>
                <w:sz w:val="18"/>
                <w:szCs w:val="18"/>
                <w:u w:val="none"/>
              </w:rPr>
            </w:pPr>
            <w:r w:rsidRPr="00982B0E">
              <w:rPr>
                <w:sz w:val="18"/>
                <w:szCs w:val="18"/>
                <w:u w:val="none"/>
              </w:rPr>
              <w:t>Forestry (-8%, net sink)</w:t>
            </w:r>
          </w:p>
        </w:tc>
        <w:tc>
          <w:tcPr>
            <w:tcW w:w="3517" w:type="dxa"/>
            <w:vAlign w:val="center"/>
          </w:tcPr>
          <w:p w14:paraId="6EB12A3A" w14:textId="77777777" w:rsidR="00737402" w:rsidRPr="00086EA6" w:rsidRDefault="00737402" w:rsidP="00194211">
            <w:pPr>
              <w:rPr>
                <w:i/>
                <w:sz w:val="18"/>
                <w:szCs w:val="18"/>
              </w:rPr>
            </w:pPr>
            <w:r w:rsidRPr="00086EA6">
              <w:rPr>
                <w:sz w:val="18"/>
                <w:szCs w:val="18"/>
              </w:rPr>
              <w:t>Removals in the forestry sector were estimated using local activity data and default Tier 1 removal factors (gain-loss method). Above-ground biomass and the soil carbon pools were considered.</w:t>
            </w:r>
          </w:p>
        </w:tc>
        <w:tc>
          <w:tcPr>
            <w:tcW w:w="4253" w:type="dxa"/>
            <w:vAlign w:val="center"/>
          </w:tcPr>
          <w:p w14:paraId="1DADDC46" w14:textId="77777777" w:rsidR="00737402" w:rsidRPr="00086EA6" w:rsidRDefault="00737402" w:rsidP="00194211">
            <w:pPr>
              <w:rPr>
                <w:i/>
                <w:sz w:val="18"/>
                <w:szCs w:val="18"/>
              </w:rPr>
            </w:pPr>
            <w:r w:rsidRPr="00086EA6">
              <w:rPr>
                <w:i/>
                <w:sz w:val="18"/>
                <w:szCs w:val="18"/>
              </w:rPr>
              <w:t>Inventory, page 102:</w:t>
            </w:r>
          </w:p>
          <w:p w14:paraId="31E81DCE" w14:textId="77777777" w:rsidR="00737402" w:rsidRPr="00086EA6" w:rsidRDefault="00737402" w:rsidP="00194211">
            <w:pPr>
              <w:rPr>
                <w:sz w:val="18"/>
                <w:szCs w:val="18"/>
              </w:rPr>
            </w:pPr>
            <w:r w:rsidRPr="00086EA6">
              <w:rPr>
                <w:sz w:val="18"/>
                <w:szCs w:val="18"/>
              </w:rPr>
              <w:t>“Most of the country-specific factors were not available (basic wood density, biomass expansion factors, root-to-shoot ratio, amongst others). The removal factors utilised were mostly default values.”</w:t>
            </w:r>
          </w:p>
          <w:p w14:paraId="30CC4067" w14:textId="77777777" w:rsidR="00737402" w:rsidRPr="00086EA6" w:rsidRDefault="00737402" w:rsidP="00194211">
            <w:pPr>
              <w:rPr>
                <w:sz w:val="18"/>
                <w:szCs w:val="18"/>
              </w:rPr>
            </w:pPr>
          </w:p>
          <w:p w14:paraId="26CF7DB8" w14:textId="77777777" w:rsidR="00737402" w:rsidRPr="00086EA6" w:rsidRDefault="00737402" w:rsidP="00194211">
            <w:pPr>
              <w:rPr>
                <w:i/>
                <w:sz w:val="18"/>
                <w:szCs w:val="18"/>
              </w:rPr>
            </w:pPr>
            <w:r w:rsidRPr="00086EA6">
              <w:rPr>
                <w:i/>
                <w:sz w:val="18"/>
                <w:szCs w:val="18"/>
              </w:rPr>
              <w:t>Inventory, page 107:</w:t>
            </w:r>
          </w:p>
          <w:p w14:paraId="0116CE92" w14:textId="77777777" w:rsidR="00737402" w:rsidRPr="00086EA6" w:rsidRDefault="00737402" w:rsidP="00194211">
            <w:pPr>
              <w:rPr>
                <w:sz w:val="18"/>
                <w:szCs w:val="18"/>
              </w:rPr>
            </w:pPr>
            <w:r w:rsidRPr="00086EA6">
              <w:rPr>
                <w:sz w:val="18"/>
                <w:szCs w:val="18"/>
              </w:rPr>
              <w:t>“The major data gaps identified were lack of data and maps for general land cover changes and land uses for the past 10 years and lack of data on private forest lands.”</w:t>
            </w:r>
          </w:p>
          <w:p w14:paraId="62FF5888" w14:textId="77777777" w:rsidR="00737402" w:rsidRPr="00086EA6" w:rsidRDefault="00737402" w:rsidP="00194211">
            <w:pPr>
              <w:rPr>
                <w:sz w:val="18"/>
                <w:szCs w:val="18"/>
              </w:rPr>
            </w:pPr>
          </w:p>
          <w:p w14:paraId="78F43AA9" w14:textId="77777777" w:rsidR="00737402" w:rsidRPr="00086EA6" w:rsidRDefault="00737402" w:rsidP="00194211">
            <w:pPr>
              <w:rPr>
                <w:i/>
                <w:sz w:val="18"/>
                <w:szCs w:val="18"/>
              </w:rPr>
            </w:pPr>
            <w:r w:rsidRPr="00086EA6">
              <w:rPr>
                <w:i/>
                <w:sz w:val="18"/>
                <w:szCs w:val="18"/>
              </w:rPr>
              <w:t>TNC, page 150:</w:t>
            </w:r>
          </w:p>
          <w:p w14:paraId="4C7B6838" w14:textId="77777777" w:rsidR="00737402" w:rsidRPr="00086EA6" w:rsidRDefault="00737402" w:rsidP="00194211">
            <w:pPr>
              <w:rPr>
                <w:sz w:val="18"/>
                <w:szCs w:val="18"/>
              </w:rPr>
            </w:pPr>
            <w:r w:rsidRPr="00086EA6">
              <w:rPr>
                <w:sz w:val="18"/>
                <w:szCs w:val="18"/>
              </w:rPr>
              <w:t>“Limited data on privately-owned forests, trees along rivers and roadsides; and on natural forests (types of trees, age distribution, annual increment).”</w:t>
            </w:r>
          </w:p>
        </w:tc>
      </w:tr>
      <w:tr w:rsidR="00737402" w:rsidRPr="00086EA6" w14:paraId="7F8C0F7A" w14:textId="77777777" w:rsidTr="00737402">
        <w:tc>
          <w:tcPr>
            <w:tcW w:w="2012" w:type="dxa"/>
            <w:shd w:val="clear" w:color="auto" w:fill="D9D9D9"/>
            <w:vAlign w:val="center"/>
          </w:tcPr>
          <w:p w14:paraId="5A8680EA" w14:textId="6C8D8BCC" w:rsidR="00737402" w:rsidRPr="00086EA6" w:rsidRDefault="00737402" w:rsidP="00194211">
            <w:pPr>
              <w:rPr>
                <w:sz w:val="18"/>
                <w:szCs w:val="18"/>
              </w:rPr>
            </w:pPr>
            <w:r w:rsidRPr="00086EA6">
              <w:rPr>
                <w:sz w:val="18"/>
                <w:szCs w:val="18"/>
              </w:rPr>
              <w:t>Waste (</w:t>
            </w:r>
            <w:r w:rsidR="00660008">
              <w:rPr>
                <w:sz w:val="18"/>
                <w:szCs w:val="18"/>
              </w:rPr>
              <w:t>20</w:t>
            </w:r>
            <w:r w:rsidRPr="00086EA6">
              <w:rPr>
                <w:sz w:val="18"/>
                <w:szCs w:val="18"/>
              </w:rPr>
              <w:t>%)</w:t>
            </w:r>
          </w:p>
        </w:tc>
        <w:tc>
          <w:tcPr>
            <w:tcW w:w="3517" w:type="dxa"/>
            <w:shd w:val="clear" w:color="auto" w:fill="D9D9D9"/>
            <w:vAlign w:val="center"/>
          </w:tcPr>
          <w:p w14:paraId="750C8A77" w14:textId="77777777" w:rsidR="00737402" w:rsidRPr="00086EA6" w:rsidRDefault="00737402" w:rsidP="00194211">
            <w:pPr>
              <w:rPr>
                <w:sz w:val="18"/>
                <w:szCs w:val="18"/>
              </w:rPr>
            </w:pPr>
            <w:r w:rsidRPr="00086EA6">
              <w:rPr>
                <w:sz w:val="18"/>
                <w:szCs w:val="18"/>
              </w:rPr>
              <w:t xml:space="preserve">GHG emissions were generally calculated using local activity data (e.g. amount of waste landfilled, population connected to the sewer network) using Tier 1 emission factors </w:t>
            </w:r>
          </w:p>
        </w:tc>
        <w:tc>
          <w:tcPr>
            <w:tcW w:w="4253" w:type="dxa"/>
            <w:shd w:val="clear" w:color="auto" w:fill="D9D9D9"/>
            <w:vAlign w:val="center"/>
          </w:tcPr>
          <w:p w14:paraId="7D28E1ED" w14:textId="77777777" w:rsidR="00737402" w:rsidRPr="00086EA6" w:rsidRDefault="00737402" w:rsidP="00194211">
            <w:pPr>
              <w:rPr>
                <w:i/>
                <w:sz w:val="18"/>
                <w:szCs w:val="18"/>
              </w:rPr>
            </w:pPr>
            <w:r w:rsidRPr="00086EA6">
              <w:rPr>
                <w:i/>
                <w:sz w:val="18"/>
                <w:szCs w:val="18"/>
              </w:rPr>
              <w:t>Inventory, page 121:</w:t>
            </w:r>
          </w:p>
          <w:p w14:paraId="2470341D" w14:textId="77777777" w:rsidR="00737402" w:rsidRPr="00086EA6" w:rsidRDefault="00737402" w:rsidP="00194211">
            <w:pPr>
              <w:rPr>
                <w:sz w:val="18"/>
                <w:szCs w:val="18"/>
              </w:rPr>
            </w:pPr>
            <w:r w:rsidRPr="00086EA6">
              <w:rPr>
                <w:sz w:val="18"/>
                <w:szCs w:val="18"/>
              </w:rPr>
              <w:t>“The waste sector is reliant upon accurate and regularly updated data on solid waste composition. The activity data for liquid wastes needs to be studied with a view to develop country-specific EFs.”</w:t>
            </w:r>
          </w:p>
        </w:tc>
      </w:tr>
      <w:tr w:rsidR="00737402" w:rsidRPr="00086EA6" w14:paraId="742CC1B5" w14:textId="77777777" w:rsidTr="00194211">
        <w:tc>
          <w:tcPr>
            <w:tcW w:w="2012" w:type="dxa"/>
            <w:vAlign w:val="center"/>
          </w:tcPr>
          <w:p w14:paraId="3B3ABE72" w14:textId="77777777" w:rsidR="00737402" w:rsidRPr="00982B0E" w:rsidRDefault="00737402" w:rsidP="00982B0E">
            <w:pPr>
              <w:pStyle w:val="ListParagraph"/>
              <w:rPr>
                <w:sz w:val="18"/>
                <w:szCs w:val="18"/>
                <w:u w:val="none"/>
              </w:rPr>
            </w:pPr>
            <w:r w:rsidRPr="00982B0E">
              <w:rPr>
                <w:sz w:val="18"/>
                <w:szCs w:val="18"/>
                <w:u w:val="none"/>
              </w:rPr>
              <w:t>Solid waste (18%)</w:t>
            </w:r>
          </w:p>
        </w:tc>
        <w:tc>
          <w:tcPr>
            <w:tcW w:w="3517" w:type="dxa"/>
            <w:vAlign w:val="center"/>
          </w:tcPr>
          <w:p w14:paraId="57A8F075" w14:textId="77777777" w:rsidR="00737402" w:rsidRPr="00086EA6" w:rsidRDefault="00737402" w:rsidP="00194211">
            <w:pPr>
              <w:rPr>
                <w:sz w:val="18"/>
                <w:szCs w:val="18"/>
              </w:rPr>
            </w:pPr>
            <w:r w:rsidRPr="00086EA6">
              <w:rPr>
                <w:sz w:val="18"/>
                <w:szCs w:val="18"/>
              </w:rPr>
              <w:t>The IPCC waste model was used to estimate CH</w:t>
            </w:r>
            <w:r w:rsidRPr="00086EA6">
              <w:rPr>
                <w:sz w:val="18"/>
                <w:szCs w:val="18"/>
                <w:vertAlign w:val="subscript"/>
              </w:rPr>
              <w:t>4</w:t>
            </w:r>
            <w:r w:rsidRPr="00086EA6">
              <w:rPr>
                <w:sz w:val="18"/>
                <w:szCs w:val="18"/>
              </w:rPr>
              <w:t xml:space="preserve"> emissions from the Mare </w:t>
            </w:r>
            <w:proofErr w:type="spellStart"/>
            <w:r w:rsidRPr="00086EA6">
              <w:rPr>
                <w:sz w:val="18"/>
                <w:szCs w:val="18"/>
              </w:rPr>
              <w:t>Chicose</w:t>
            </w:r>
            <w:proofErr w:type="spellEnd"/>
            <w:r w:rsidRPr="00086EA6">
              <w:rPr>
                <w:sz w:val="18"/>
                <w:szCs w:val="18"/>
              </w:rPr>
              <w:t xml:space="preserve"> sanitary landfill. A fraction of the biogas is captured and used to generate electricity, for which good data exists; the inventory quantifies the CH</w:t>
            </w:r>
            <w:r w:rsidRPr="00086EA6">
              <w:rPr>
                <w:sz w:val="18"/>
                <w:szCs w:val="18"/>
                <w:vertAlign w:val="subscript"/>
              </w:rPr>
              <w:t>4</w:t>
            </w:r>
            <w:r w:rsidRPr="00086EA6">
              <w:rPr>
                <w:sz w:val="18"/>
                <w:szCs w:val="18"/>
              </w:rPr>
              <w:t xml:space="preserve"> emissions that are vented without capture and without oxidation in the cover of the landfill. Composting and waste incineration (clinical waste only) are minor emissions sources, for which default IPCC EFs are used.</w:t>
            </w:r>
          </w:p>
        </w:tc>
        <w:tc>
          <w:tcPr>
            <w:tcW w:w="4253" w:type="dxa"/>
            <w:vAlign w:val="center"/>
          </w:tcPr>
          <w:p w14:paraId="071D9891" w14:textId="77777777" w:rsidR="00737402" w:rsidRPr="00086EA6" w:rsidRDefault="00737402" w:rsidP="00194211">
            <w:pPr>
              <w:rPr>
                <w:i/>
                <w:sz w:val="18"/>
                <w:szCs w:val="18"/>
              </w:rPr>
            </w:pPr>
            <w:r w:rsidRPr="00086EA6">
              <w:rPr>
                <w:i/>
                <w:sz w:val="18"/>
                <w:szCs w:val="18"/>
              </w:rPr>
              <w:t>Inventory, page 127:</w:t>
            </w:r>
          </w:p>
          <w:p w14:paraId="1572A0E9" w14:textId="77777777" w:rsidR="00737402" w:rsidRPr="00086EA6" w:rsidRDefault="00737402" w:rsidP="00194211">
            <w:pPr>
              <w:rPr>
                <w:sz w:val="18"/>
                <w:szCs w:val="18"/>
              </w:rPr>
            </w:pPr>
            <w:r w:rsidRPr="00086EA6">
              <w:rPr>
                <w:sz w:val="18"/>
                <w:szCs w:val="18"/>
              </w:rPr>
              <w:t>“Mauritius has country-specific and accurate [municipal solid waste] data.”</w:t>
            </w:r>
          </w:p>
          <w:p w14:paraId="6993C0E4" w14:textId="77777777" w:rsidR="00737402" w:rsidRPr="00086EA6" w:rsidRDefault="00737402" w:rsidP="00194211">
            <w:pPr>
              <w:rPr>
                <w:sz w:val="18"/>
                <w:szCs w:val="18"/>
              </w:rPr>
            </w:pPr>
          </w:p>
          <w:p w14:paraId="645BD826" w14:textId="77777777" w:rsidR="00737402" w:rsidRPr="00086EA6" w:rsidRDefault="00737402" w:rsidP="00194211">
            <w:pPr>
              <w:rPr>
                <w:i/>
                <w:sz w:val="18"/>
                <w:szCs w:val="18"/>
              </w:rPr>
            </w:pPr>
            <w:r w:rsidRPr="00086EA6">
              <w:rPr>
                <w:i/>
                <w:sz w:val="18"/>
                <w:szCs w:val="18"/>
              </w:rPr>
              <w:t>TNC, page 150:</w:t>
            </w:r>
          </w:p>
          <w:p w14:paraId="3280042B" w14:textId="77777777" w:rsidR="00737402" w:rsidRPr="00086EA6" w:rsidRDefault="00737402" w:rsidP="00194211">
            <w:pPr>
              <w:rPr>
                <w:sz w:val="18"/>
                <w:szCs w:val="18"/>
              </w:rPr>
            </w:pPr>
            <w:r w:rsidRPr="00086EA6">
              <w:rPr>
                <w:sz w:val="18"/>
                <w:szCs w:val="18"/>
              </w:rPr>
              <w:t>“Insufficient EF development for emissions from waste.”</w:t>
            </w:r>
          </w:p>
        </w:tc>
      </w:tr>
      <w:tr w:rsidR="00737402" w:rsidRPr="00086EA6" w14:paraId="2B50585E" w14:textId="77777777" w:rsidTr="00194211">
        <w:tc>
          <w:tcPr>
            <w:tcW w:w="2012" w:type="dxa"/>
            <w:vAlign w:val="center"/>
          </w:tcPr>
          <w:p w14:paraId="74101FA8" w14:textId="77777777" w:rsidR="00737402" w:rsidRPr="00982B0E" w:rsidRDefault="00737402" w:rsidP="00982B0E">
            <w:pPr>
              <w:pStyle w:val="ListParagraph"/>
              <w:rPr>
                <w:sz w:val="18"/>
                <w:szCs w:val="18"/>
                <w:u w:val="none"/>
              </w:rPr>
            </w:pPr>
            <w:r w:rsidRPr="00982B0E">
              <w:rPr>
                <w:sz w:val="18"/>
                <w:szCs w:val="18"/>
                <w:u w:val="none"/>
              </w:rPr>
              <w:t>Liquid waste (1%)</w:t>
            </w:r>
          </w:p>
        </w:tc>
        <w:tc>
          <w:tcPr>
            <w:tcW w:w="3517" w:type="dxa"/>
            <w:vAlign w:val="center"/>
          </w:tcPr>
          <w:p w14:paraId="299B673E" w14:textId="10C2BFF4" w:rsidR="00737402" w:rsidRPr="00086EA6" w:rsidRDefault="00737402" w:rsidP="00194211">
            <w:pPr>
              <w:rPr>
                <w:sz w:val="18"/>
                <w:szCs w:val="18"/>
              </w:rPr>
            </w:pPr>
            <w:r w:rsidRPr="00086EA6">
              <w:rPr>
                <w:sz w:val="18"/>
                <w:szCs w:val="18"/>
              </w:rPr>
              <w:t>Activity data were sourced from treatment plants, metered water statistics and hotel occupancy rates. Water characteristics were determined using laboratory analyses</w:t>
            </w:r>
            <w:r w:rsidR="00D961DC">
              <w:rPr>
                <w:sz w:val="18"/>
                <w:szCs w:val="18"/>
              </w:rPr>
              <w:t xml:space="preserve"> (SNC Report, 2010)</w:t>
            </w:r>
            <w:r w:rsidRPr="00086EA6">
              <w:rPr>
                <w:sz w:val="18"/>
                <w:szCs w:val="18"/>
              </w:rPr>
              <w:t>. Default CH</w:t>
            </w:r>
            <w:r w:rsidRPr="005731B6">
              <w:rPr>
                <w:sz w:val="18"/>
                <w:szCs w:val="18"/>
                <w:vertAlign w:val="subscript"/>
              </w:rPr>
              <w:t>4</w:t>
            </w:r>
            <w:r w:rsidRPr="00086EA6">
              <w:rPr>
                <w:sz w:val="18"/>
                <w:szCs w:val="18"/>
              </w:rPr>
              <w:t xml:space="preserve"> emission factors were used.</w:t>
            </w:r>
          </w:p>
        </w:tc>
        <w:tc>
          <w:tcPr>
            <w:tcW w:w="4253" w:type="dxa"/>
            <w:vAlign w:val="center"/>
          </w:tcPr>
          <w:p w14:paraId="49D48F10" w14:textId="77777777" w:rsidR="00737402" w:rsidRPr="00086EA6" w:rsidRDefault="00737402" w:rsidP="00194211">
            <w:pPr>
              <w:rPr>
                <w:i/>
                <w:sz w:val="18"/>
                <w:szCs w:val="18"/>
              </w:rPr>
            </w:pPr>
            <w:r w:rsidRPr="00086EA6">
              <w:rPr>
                <w:i/>
                <w:sz w:val="18"/>
                <w:szCs w:val="18"/>
              </w:rPr>
              <w:t>Inventory, page 139:</w:t>
            </w:r>
          </w:p>
          <w:p w14:paraId="7A8134F9" w14:textId="77777777" w:rsidR="00737402" w:rsidRPr="00086EA6" w:rsidRDefault="00737402" w:rsidP="00194211">
            <w:pPr>
              <w:rPr>
                <w:sz w:val="18"/>
                <w:szCs w:val="18"/>
              </w:rPr>
            </w:pPr>
            <w:r w:rsidRPr="00086EA6">
              <w:rPr>
                <w:sz w:val="18"/>
                <w:szCs w:val="18"/>
              </w:rPr>
              <w:t>“Data on population connected to each wastewater treatment plant is needed for calculations and can be provided by carrying out surveys in catchment areas of the unsewered network…Further waste characterisation will be carried out to have more accurate data for percentage of waste (paper, garden and others).”</w:t>
            </w:r>
          </w:p>
          <w:p w14:paraId="49DA1E55" w14:textId="77777777" w:rsidR="00737402" w:rsidRPr="00086EA6" w:rsidRDefault="00737402" w:rsidP="00194211">
            <w:pPr>
              <w:rPr>
                <w:sz w:val="18"/>
                <w:szCs w:val="18"/>
              </w:rPr>
            </w:pPr>
          </w:p>
          <w:p w14:paraId="4FCA6FAE" w14:textId="77777777" w:rsidR="00737402" w:rsidRPr="00086EA6" w:rsidRDefault="00737402" w:rsidP="00194211">
            <w:pPr>
              <w:rPr>
                <w:i/>
                <w:sz w:val="18"/>
                <w:szCs w:val="18"/>
              </w:rPr>
            </w:pPr>
            <w:r w:rsidRPr="00086EA6">
              <w:rPr>
                <w:i/>
                <w:sz w:val="18"/>
                <w:szCs w:val="18"/>
              </w:rPr>
              <w:lastRenderedPageBreak/>
              <w:t>TNC, page 150:</w:t>
            </w:r>
          </w:p>
          <w:p w14:paraId="242B4705" w14:textId="77777777" w:rsidR="00737402" w:rsidRPr="00086EA6" w:rsidRDefault="00737402" w:rsidP="00194211">
            <w:pPr>
              <w:rPr>
                <w:sz w:val="18"/>
                <w:szCs w:val="18"/>
              </w:rPr>
            </w:pPr>
            <w:r w:rsidRPr="00086EA6">
              <w:rPr>
                <w:sz w:val="18"/>
                <w:szCs w:val="18"/>
              </w:rPr>
              <w:t>“Lack of data on emissions at treatment plants and records of population connected…Capacity building is needed on development of EFs.”</w:t>
            </w:r>
          </w:p>
        </w:tc>
      </w:tr>
    </w:tbl>
    <w:p w14:paraId="445AE7EA" w14:textId="77777777" w:rsidR="00737402" w:rsidRDefault="00737402" w:rsidP="00737402">
      <w:pPr>
        <w:ind w:left="-426"/>
        <w:jc w:val="both"/>
        <w:rPr>
          <w:sz w:val="22"/>
          <w:szCs w:val="22"/>
        </w:rPr>
      </w:pPr>
    </w:p>
    <w:p w14:paraId="6E7FC6B5" w14:textId="77777777" w:rsidR="00737402" w:rsidRDefault="00737402" w:rsidP="00737402">
      <w:pPr>
        <w:ind w:left="-426"/>
        <w:jc w:val="both"/>
        <w:rPr>
          <w:sz w:val="22"/>
          <w:szCs w:val="22"/>
        </w:rPr>
      </w:pPr>
      <w:r>
        <w:rPr>
          <w:sz w:val="22"/>
          <w:szCs w:val="22"/>
        </w:rPr>
        <w:t xml:space="preserve">In addition to data-specific issues, other barriers serve to hinder the GHG </w:t>
      </w:r>
      <w:proofErr w:type="spellStart"/>
      <w:r>
        <w:rPr>
          <w:sz w:val="22"/>
          <w:szCs w:val="22"/>
        </w:rPr>
        <w:t>inventorisation</w:t>
      </w:r>
      <w:proofErr w:type="spellEnd"/>
      <w:r>
        <w:rPr>
          <w:sz w:val="22"/>
          <w:szCs w:val="22"/>
        </w:rPr>
        <w:t xml:space="preserve"> process in Mauritius, and hence weaken the country’s transparency and reporting obligations under the Paris Agreement.</w:t>
      </w:r>
    </w:p>
    <w:p w14:paraId="36F711A1" w14:textId="77777777" w:rsidR="00737402" w:rsidRDefault="00737402" w:rsidP="00737402">
      <w:pPr>
        <w:ind w:left="-426"/>
        <w:jc w:val="both"/>
        <w:rPr>
          <w:sz w:val="22"/>
          <w:szCs w:val="22"/>
        </w:rPr>
      </w:pPr>
    </w:p>
    <w:p w14:paraId="3F6C1B57" w14:textId="77777777" w:rsidR="00737402" w:rsidRPr="00737402" w:rsidRDefault="00737402" w:rsidP="00737402">
      <w:pPr>
        <w:ind w:left="-426"/>
        <w:jc w:val="both"/>
        <w:rPr>
          <w:rFonts w:cs="Calibri"/>
          <w:sz w:val="22"/>
          <w:szCs w:val="22"/>
        </w:rPr>
      </w:pPr>
      <w:r w:rsidRPr="00737402">
        <w:rPr>
          <w:rFonts w:cs="Calibri"/>
          <w:sz w:val="22"/>
          <w:szCs w:val="22"/>
        </w:rPr>
        <w:t xml:space="preserve">To date, Mauritius has relied upon a system of temporary, </w:t>
      </w:r>
      <w:r w:rsidRPr="00737402">
        <w:rPr>
          <w:rFonts w:cs="Calibri"/>
          <w:i/>
          <w:sz w:val="22"/>
          <w:szCs w:val="22"/>
        </w:rPr>
        <w:t>ad hoc</w:t>
      </w:r>
      <w:r w:rsidRPr="00737402">
        <w:rPr>
          <w:rFonts w:cs="Calibri"/>
          <w:sz w:val="22"/>
          <w:szCs w:val="22"/>
        </w:rPr>
        <w:t xml:space="preserve"> institutional arrangements to undertake National Communications and their associated inventories, whereby ministries and other institutions have supplied staff members to technical working groups for limited periods of time. This has led to coordination challenges (over 75 such institutions were involved in the Third National Communication), as well as limited institutional memory (as it is rarely the same staff members who work on successive National Communications), a lack of systematic data archiving and a heavy reliance upon short-term consultants. As Mauritius moves towards more frequent reporting, in the form of BURs and the upcoming Fourth National Communication, there is a greater need for institutional continuity and systematic procedures, including deeper engagement with civil society and the private sector. There is a pressing need to build internal capacities for data collection and GHG estimation to improve data supply and quality in the national greenhouse gas inventory.</w:t>
      </w:r>
    </w:p>
    <w:p w14:paraId="3161A7E1" w14:textId="77777777" w:rsidR="00737402" w:rsidRPr="00737402" w:rsidRDefault="00737402" w:rsidP="00737402">
      <w:pPr>
        <w:ind w:left="-426"/>
        <w:jc w:val="both"/>
        <w:rPr>
          <w:rFonts w:cs="Calibri"/>
          <w:sz w:val="22"/>
          <w:szCs w:val="22"/>
        </w:rPr>
      </w:pPr>
    </w:p>
    <w:p w14:paraId="0A724353" w14:textId="43220CF6" w:rsidR="00737402" w:rsidRDefault="00737402" w:rsidP="00737402">
      <w:pPr>
        <w:ind w:left="-426"/>
        <w:jc w:val="both"/>
        <w:rPr>
          <w:sz w:val="22"/>
          <w:szCs w:val="22"/>
        </w:rPr>
      </w:pPr>
      <w:r w:rsidRPr="00737402">
        <w:rPr>
          <w:rFonts w:cs="Calibri"/>
          <w:sz w:val="22"/>
          <w:szCs w:val="22"/>
        </w:rPr>
        <w:t xml:space="preserve">There is a need to develop a sustainable solution for archiving the data collected; currently, data is fragmented across multiple computers, is not readily accessible and is difficult to reconstruct for the purposes of building time-series. The Climate Change Division (CCD) of the </w:t>
      </w:r>
      <w:r w:rsidRPr="00BB2CD1">
        <w:rPr>
          <w:sz w:val="22"/>
          <w:szCs w:val="22"/>
        </w:rPr>
        <w:t xml:space="preserve">Ministry of </w:t>
      </w:r>
      <w:r w:rsidR="00660008">
        <w:rPr>
          <w:sz w:val="22"/>
          <w:szCs w:val="22"/>
        </w:rPr>
        <w:t xml:space="preserve">Social Security, National Solidarity, and </w:t>
      </w:r>
      <w:r w:rsidRPr="00BB2CD1">
        <w:rPr>
          <w:sz w:val="22"/>
          <w:szCs w:val="22"/>
        </w:rPr>
        <w:t>Environment</w:t>
      </w:r>
      <w:r w:rsidR="00660008">
        <w:rPr>
          <w:sz w:val="22"/>
          <w:szCs w:val="22"/>
        </w:rPr>
        <w:t xml:space="preserve"> and</w:t>
      </w:r>
      <w:r w:rsidRPr="00BB2CD1">
        <w:rPr>
          <w:sz w:val="22"/>
          <w:szCs w:val="22"/>
        </w:rPr>
        <w:t xml:space="preserve"> Sustainable Development (</w:t>
      </w:r>
      <w:proofErr w:type="spellStart"/>
      <w:r w:rsidR="00660008" w:rsidRPr="00BB2CD1">
        <w:rPr>
          <w:sz w:val="22"/>
          <w:szCs w:val="22"/>
        </w:rPr>
        <w:t>Mo</w:t>
      </w:r>
      <w:r w:rsidR="00660008">
        <w:rPr>
          <w:sz w:val="22"/>
          <w:szCs w:val="22"/>
        </w:rPr>
        <w:t>SSNSESD</w:t>
      </w:r>
      <w:proofErr w:type="spellEnd"/>
      <w:r w:rsidRPr="00BB2CD1">
        <w:rPr>
          <w:sz w:val="22"/>
          <w:szCs w:val="22"/>
        </w:rPr>
        <w:t>)</w:t>
      </w:r>
      <w:r>
        <w:rPr>
          <w:sz w:val="22"/>
          <w:szCs w:val="22"/>
        </w:rPr>
        <w:t xml:space="preserve"> operates an online Climate Change Information Centre (CCIC)</w:t>
      </w:r>
      <w:r>
        <w:rPr>
          <w:rStyle w:val="FootnoteReference"/>
          <w:sz w:val="22"/>
          <w:szCs w:val="22"/>
        </w:rPr>
        <w:footnoteReference w:id="3"/>
      </w:r>
      <w:r>
        <w:rPr>
          <w:sz w:val="22"/>
          <w:szCs w:val="22"/>
        </w:rPr>
        <w:t xml:space="preserve">, which offers a ready-made solution to the data archiving problem. Indeed, the CCIC could straightforwardly be upgraded to become a ‘climate transparency portal’ that hosts both outward-facing content (reports, strategies, public data-sets, etc.) and internal data (e.g. raw and processed inventory data, GIS files, Excel models, IPCC software files, etc.). </w:t>
      </w:r>
    </w:p>
    <w:p w14:paraId="5C8D7FCC" w14:textId="77777777" w:rsidR="00737402" w:rsidRPr="00E4044E" w:rsidRDefault="00737402" w:rsidP="00737402">
      <w:pPr>
        <w:jc w:val="both"/>
        <w:rPr>
          <w:sz w:val="22"/>
          <w:szCs w:val="22"/>
        </w:rPr>
      </w:pPr>
    </w:p>
    <w:p w14:paraId="3B6C9B3D" w14:textId="77777777" w:rsidR="00737402" w:rsidRPr="002B0788" w:rsidRDefault="00737402" w:rsidP="00982B0E">
      <w:pPr>
        <w:pStyle w:val="ListParagraph"/>
        <w:numPr>
          <w:ilvl w:val="0"/>
          <w:numId w:val="2"/>
        </w:numPr>
        <w:rPr>
          <w:rFonts w:eastAsia="SimSun"/>
        </w:rPr>
      </w:pPr>
      <w:r w:rsidRPr="002B0788">
        <w:rPr>
          <w:rFonts w:eastAsia="SimSun"/>
        </w:rPr>
        <w:t>The baseline scenario or any associated baseline projects</w:t>
      </w:r>
    </w:p>
    <w:p w14:paraId="508C3CBD" w14:textId="77777777" w:rsidR="00737402" w:rsidRDefault="00737402" w:rsidP="00737402">
      <w:pPr>
        <w:ind w:left="-426"/>
        <w:jc w:val="both"/>
        <w:rPr>
          <w:sz w:val="22"/>
          <w:szCs w:val="22"/>
        </w:rPr>
      </w:pPr>
    </w:p>
    <w:p w14:paraId="2F0306BD" w14:textId="77777777" w:rsidR="00737402" w:rsidRDefault="00737402" w:rsidP="00737402">
      <w:pPr>
        <w:ind w:left="-426"/>
        <w:jc w:val="both"/>
        <w:rPr>
          <w:sz w:val="22"/>
          <w:szCs w:val="22"/>
        </w:rPr>
      </w:pPr>
      <w:r>
        <w:rPr>
          <w:sz w:val="22"/>
          <w:szCs w:val="22"/>
        </w:rPr>
        <w:t xml:space="preserve">(i) </w:t>
      </w:r>
      <w:r w:rsidRPr="00FC5728">
        <w:rPr>
          <w:sz w:val="22"/>
          <w:szCs w:val="22"/>
          <w:u w:val="single"/>
        </w:rPr>
        <w:t xml:space="preserve">Legal and regulatory framework </w:t>
      </w:r>
      <w:r>
        <w:rPr>
          <w:sz w:val="22"/>
          <w:szCs w:val="22"/>
          <w:u w:val="single"/>
        </w:rPr>
        <w:t>for</w:t>
      </w:r>
      <w:r w:rsidRPr="00FC5728">
        <w:rPr>
          <w:sz w:val="22"/>
          <w:szCs w:val="22"/>
          <w:u w:val="single"/>
        </w:rPr>
        <w:t xml:space="preserve"> climate change</w:t>
      </w:r>
    </w:p>
    <w:p w14:paraId="22263F9A" w14:textId="77777777" w:rsidR="00737402" w:rsidRPr="00026BAA" w:rsidRDefault="00737402" w:rsidP="00737402">
      <w:pPr>
        <w:ind w:left="-426"/>
        <w:jc w:val="both"/>
        <w:rPr>
          <w:color w:val="000000"/>
          <w:sz w:val="22"/>
          <w:szCs w:val="22"/>
        </w:rPr>
      </w:pPr>
    </w:p>
    <w:p w14:paraId="3062C09A" w14:textId="77777777" w:rsidR="00737402" w:rsidRPr="00026BAA" w:rsidRDefault="00737402" w:rsidP="00737402">
      <w:pPr>
        <w:ind w:left="-426"/>
        <w:jc w:val="both"/>
        <w:rPr>
          <w:color w:val="000000"/>
          <w:sz w:val="22"/>
          <w:szCs w:val="22"/>
        </w:rPr>
      </w:pPr>
      <w:r w:rsidRPr="001869E5">
        <w:rPr>
          <w:color w:val="000000"/>
          <w:sz w:val="22"/>
          <w:szCs w:val="22"/>
        </w:rPr>
        <w:t xml:space="preserve">In view of its commitment to address climate change, </w:t>
      </w:r>
      <w:r w:rsidRPr="00026BAA">
        <w:rPr>
          <w:color w:val="000000"/>
          <w:sz w:val="22"/>
          <w:szCs w:val="22"/>
        </w:rPr>
        <w:t>Mauritius</w:t>
      </w:r>
      <w:r w:rsidRPr="001869E5">
        <w:rPr>
          <w:color w:val="000000"/>
          <w:sz w:val="22"/>
          <w:szCs w:val="22"/>
        </w:rPr>
        <w:t xml:space="preserve"> was among the first 15 countries to sign and ratify the Paris Agreement in New York on 22 April 2016. </w:t>
      </w:r>
      <w:r w:rsidRPr="00026BAA">
        <w:rPr>
          <w:color w:val="000000"/>
          <w:sz w:val="22"/>
          <w:szCs w:val="22"/>
        </w:rPr>
        <w:t xml:space="preserve">The </w:t>
      </w:r>
      <w:r>
        <w:rPr>
          <w:color w:val="000000"/>
          <w:sz w:val="22"/>
          <w:szCs w:val="22"/>
        </w:rPr>
        <w:t>g</w:t>
      </w:r>
      <w:r w:rsidRPr="00026BAA">
        <w:rPr>
          <w:color w:val="000000"/>
          <w:sz w:val="22"/>
          <w:szCs w:val="22"/>
        </w:rPr>
        <w:t>overnment is also planning to introduce a Climate Change Act to serve as an organising framework for its broad array of existing policies, programmes and strategies relating to climate change:</w:t>
      </w:r>
    </w:p>
    <w:p w14:paraId="57839CA0" w14:textId="77777777" w:rsidR="00737402" w:rsidRPr="00026BAA" w:rsidRDefault="00737402" w:rsidP="00737402">
      <w:pPr>
        <w:ind w:left="-426"/>
        <w:jc w:val="both"/>
        <w:rPr>
          <w:color w:val="000000"/>
          <w:sz w:val="22"/>
          <w:szCs w:val="22"/>
        </w:rPr>
      </w:pPr>
    </w:p>
    <w:p w14:paraId="6F1C874E" w14:textId="77777777" w:rsidR="00737402" w:rsidRPr="00026BAA" w:rsidRDefault="00737402" w:rsidP="00737402">
      <w:pPr>
        <w:ind w:left="-426"/>
        <w:jc w:val="both"/>
        <w:rPr>
          <w:color w:val="000000"/>
          <w:sz w:val="22"/>
          <w:szCs w:val="22"/>
        </w:rPr>
      </w:pPr>
      <w:r w:rsidRPr="001869E5">
        <w:rPr>
          <w:b/>
          <w:bCs/>
          <w:i/>
          <w:iCs/>
          <w:color w:val="000000"/>
          <w:sz w:val="22"/>
          <w:szCs w:val="22"/>
        </w:rPr>
        <w:t>Vision 2030</w:t>
      </w:r>
      <w:r w:rsidRPr="00026BAA">
        <w:rPr>
          <w:b/>
          <w:bCs/>
          <w:i/>
          <w:iCs/>
          <w:color w:val="000000"/>
          <w:sz w:val="22"/>
          <w:szCs w:val="22"/>
        </w:rPr>
        <w:t>.</w:t>
      </w:r>
      <w:r w:rsidRPr="001869E5">
        <w:rPr>
          <w:b/>
          <w:bCs/>
          <w:i/>
          <w:iCs/>
          <w:color w:val="000000"/>
          <w:sz w:val="22"/>
          <w:szCs w:val="22"/>
        </w:rPr>
        <w:t xml:space="preserve"> </w:t>
      </w:r>
      <w:r w:rsidRPr="00026BAA">
        <w:rPr>
          <w:bCs/>
          <w:iCs/>
          <w:color w:val="000000"/>
          <w:sz w:val="22"/>
          <w:szCs w:val="22"/>
        </w:rPr>
        <w:t xml:space="preserve">The </w:t>
      </w:r>
      <w:r>
        <w:rPr>
          <w:color w:val="000000"/>
          <w:sz w:val="22"/>
          <w:szCs w:val="22"/>
        </w:rPr>
        <w:t>g</w:t>
      </w:r>
      <w:r w:rsidRPr="001869E5">
        <w:rPr>
          <w:color w:val="000000"/>
          <w:sz w:val="22"/>
          <w:szCs w:val="22"/>
        </w:rPr>
        <w:t>overnment has set up a High-Powered Committee to prepare a Blueprint for Vision 2030</w:t>
      </w:r>
      <w:r w:rsidRPr="00026BAA">
        <w:rPr>
          <w:color w:val="000000"/>
          <w:sz w:val="22"/>
          <w:szCs w:val="22"/>
        </w:rPr>
        <w:t>,</w:t>
      </w:r>
      <w:r w:rsidRPr="001869E5">
        <w:rPr>
          <w:color w:val="000000"/>
          <w:sz w:val="22"/>
          <w:szCs w:val="22"/>
        </w:rPr>
        <w:t xml:space="preserve"> which </w:t>
      </w:r>
      <w:r w:rsidRPr="00026BAA">
        <w:rPr>
          <w:color w:val="000000"/>
          <w:sz w:val="22"/>
          <w:szCs w:val="22"/>
        </w:rPr>
        <w:t xml:space="preserve">will </w:t>
      </w:r>
      <w:r w:rsidRPr="001869E5">
        <w:rPr>
          <w:color w:val="000000"/>
          <w:sz w:val="22"/>
          <w:szCs w:val="22"/>
        </w:rPr>
        <w:t xml:space="preserve">comprise action plans for immediate priorities </w:t>
      </w:r>
      <w:r w:rsidRPr="00026BAA">
        <w:rPr>
          <w:color w:val="000000"/>
          <w:sz w:val="22"/>
          <w:szCs w:val="22"/>
        </w:rPr>
        <w:t>such as sustainable development, poverty alleviation and the environment.</w:t>
      </w:r>
      <w:r w:rsidRPr="001869E5">
        <w:rPr>
          <w:color w:val="000000"/>
          <w:sz w:val="22"/>
          <w:szCs w:val="22"/>
        </w:rPr>
        <w:t xml:space="preserve"> The SDGs, includ</w:t>
      </w:r>
      <w:r w:rsidRPr="00026BAA">
        <w:rPr>
          <w:color w:val="000000"/>
          <w:sz w:val="22"/>
          <w:szCs w:val="22"/>
        </w:rPr>
        <w:t>ing SDG 13 on Climate Action,</w:t>
      </w:r>
      <w:r w:rsidRPr="001869E5">
        <w:rPr>
          <w:color w:val="000000"/>
          <w:sz w:val="22"/>
          <w:szCs w:val="22"/>
        </w:rPr>
        <w:t xml:space="preserve"> are being integrated within Vision 2030. </w:t>
      </w:r>
    </w:p>
    <w:p w14:paraId="347FABBB" w14:textId="77777777" w:rsidR="00737402" w:rsidRPr="00026BAA" w:rsidRDefault="00737402" w:rsidP="00737402">
      <w:pPr>
        <w:ind w:left="-426"/>
        <w:jc w:val="both"/>
        <w:rPr>
          <w:b/>
          <w:bCs/>
          <w:i/>
          <w:iCs/>
          <w:color w:val="000000"/>
          <w:sz w:val="22"/>
          <w:szCs w:val="22"/>
        </w:rPr>
      </w:pPr>
    </w:p>
    <w:p w14:paraId="20EBEA18" w14:textId="77777777" w:rsidR="00737402" w:rsidRPr="00026BAA" w:rsidRDefault="00737402" w:rsidP="00737402">
      <w:pPr>
        <w:ind w:left="-426"/>
        <w:jc w:val="both"/>
        <w:rPr>
          <w:color w:val="000000"/>
          <w:sz w:val="22"/>
          <w:szCs w:val="22"/>
        </w:rPr>
      </w:pPr>
      <w:r w:rsidRPr="001869E5">
        <w:rPr>
          <w:b/>
          <w:bCs/>
          <w:i/>
          <w:iCs/>
          <w:color w:val="000000"/>
          <w:sz w:val="22"/>
          <w:szCs w:val="22"/>
        </w:rPr>
        <w:t>Public Sector Investment Programme</w:t>
      </w:r>
      <w:r w:rsidRPr="00026BAA">
        <w:rPr>
          <w:bCs/>
          <w:iCs/>
          <w:color w:val="000000"/>
          <w:sz w:val="22"/>
          <w:szCs w:val="22"/>
        </w:rPr>
        <w:t xml:space="preserve">. </w:t>
      </w:r>
      <w:r w:rsidRPr="00026BAA">
        <w:rPr>
          <w:color w:val="000000"/>
          <w:sz w:val="22"/>
          <w:szCs w:val="22"/>
        </w:rPr>
        <w:t>The PSIP</w:t>
      </w:r>
      <w:r w:rsidRPr="001869E5">
        <w:rPr>
          <w:color w:val="000000"/>
          <w:sz w:val="22"/>
          <w:szCs w:val="22"/>
        </w:rPr>
        <w:t xml:space="preserve"> makes provisions for</w:t>
      </w:r>
      <w:r w:rsidRPr="00026BAA">
        <w:rPr>
          <w:color w:val="000000"/>
          <w:sz w:val="22"/>
          <w:szCs w:val="22"/>
        </w:rPr>
        <w:t xml:space="preserve"> (among others) </w:t>
      </w:r>
      <w:r w:rsidRPr="001869E5">
        <w:rPr>
          <w:color w:val="000000"/>
          <w:sz w:val="22"/>
          <w:szCs w:val="22"/>
        </w:rPr>
        <w:t>the purchase of critical disaster risk equipment for National Emergency Operations</w:t>
      </w:r>
      <w:r w:rsidRPr="00026BAA">
        <w:rPr>
          <w:color w:val="000000"/>
          <w:sz w:val="22"/>
          <w:szCs w:val="22"/>
        </w:rPr>
        <w:t xml:space="preserve">, </w:t>
      </w:r>
      <w:r w:rsidRPr="001869E5">
        <w:rPr>
          <w:color w:val="000000"/>
          <w:sz w:val="22"/>
          <w:szCs w:val="22"/>
        </w:rPr>
        <w:t xml:space="preserve">the installation of a Multi-Hazard Early Warning, Emergency Alert and Advisories System, </w:t>
      </w:r>
      <w:r w:rsidRPr="00026BAA">
        <w:rPr>
          <w:color w:val="000000"/>
          <w:sz w:val="22"/>
          <w:szCs w:val="22"/>
        </w:rPr>
        <w:t xml:space="preserve">and </w:t>
      </w:r>
      <w:r w:rsidRPr="001869E5">
        <w:rPr>
          <w:color w:val="000000"/>
          <w:sz w:val="22"/>
          <w:szCs w:val="22"/>
        </w:rPr>
        <w:t>the upgrading and construction of new drains in flood</w:t>
      </w:r>
      <w:r w:rsidRPr="00026BAA">
        <w:rPr>
          <w:color w:val="000000"/>
          <w:sz w:val="22"/>
          <w:szCs w:val="22"/>
        </w:rPr>
        <w:t>-</w:t>
      </w:r>
      <w:r w:rsidRPr="001869E5">
        <w:rPr>
          <w:color w:val="000000"/>
          <w:sz w:val="22"/>
          <w:szCs w:val="22"/>
        </w:rPr>
        <w:t>prone areas</w:t>
      </w:r>
      <w:r w:rsidRPr="00026BAA">
        <w:rPr>
          <w:color w:val="000000"/>
          <w:sz w:val="22"/>
          <w:szCs w:val="22"/>
        </w:rPr>
        <w:t>.</w:t>
      </w:r>
    </w:p>
    <w:p w14:paraId="1580674C" w14:textId="77777777" w:rsidR="00737402" w:rsidRPr="00026BAA" w:rsidRDefault="00737402" w:rsidP="00737402">
      <w:pPr>
        <w:ind w:left="-426"/>
        <w:jc w:val="both"/>
        <w:rPr>
          <w:b/>
          <w:bCs/>
          <w:i/>
          <w:iCs/>
          <w:color w:val="211D1E"/>
          <w:sz w:val="22"/>
          <w:szCs w:val="22"/>
        </w:rPr>
      </w:pPr>
    </w:p>
    <w:p w14:paraId="7A079A82" w14:textId="3C2FDBE6" w:rsidR="00737402" w:rsidRPr="00026BAA" w:rsidRDefault="00737402" w:rsidP="00737402">
      <w:pPr>
        <w:ind w:left="-426"/>
        <w:jc w:val="both"/>
        <w:rPr>
          <w:color w:val="211D1E"/>
          <w:sz w:val="22"/>
          <w:szCs w:val="22"/>
        </w:rPr>
      </w:pPr>
      <w:r w:rsidRPr="001869E5">
        <w:rPr>
          <w:b/>
          <w:bCs/>
          <w:i/>
          <w:iCs/>
          <w:color w:val="211D1E"/>
          <w:sz w:val="22"/>
          <w:szCs w:val="22"/>
        </w:rPr>
        <w:t>National Climate Change Adaptation Policy Framework</w:t>
      </w:r>
      <w:r w:rsidRPr="00026BAA">
        <w:rPr>
          <w:bCs/>
          <w:iCs/>
          <w:color w:val="211D1E"/>
          <w:sz w:val="22"/>
          <w:szCs w:val="22"/>
        </w:rPr>
        <w:t>.</w:t>
      </w:r>
      <w:r w:rsidRPr="001869E5">
        <w:rPr>
          <w:b/>
          <w:bCs/>
          <w:i/>
          <w:iCs/>
          <w:color w:val="211D1E"/>
          <w:sz w:val="22"/>
          <w:szCs w:val="22"/>
        </w:rPr>
        <w:t xml:space="preserve"> </w:t>
      </w:r>
      <w:r w:rsidRPr="001869E5">
        <w:rPr>
          <w:color w:val="211D1E"/>
          <w:sz w:val="22"/>
          <w:szCs w:val="22"/>
        </w:rPr>
        <w:t xml:space="preserve">The Framework </w:t>
      </w:r>
      <w:r w:rsidRPr="00026BAA">
        <w:rPr>
          <w:color w:val="211D1E"/>
          <w:sz w:val="22"/>
          <w:szCs w:val="22"/>
        </w:rPr>
        <w:t>integrates</w:t>
      </w:r>
      <w:r w:rsidRPr="001869E5">
        <w:rPr>
          <w:color w:val="211D1E"/>
          <w:sz w:val="22"/>
          <w:szCs w:val="22"/>
        </w:rPr>
        <w:t xml:space="preserve"> climate change into core development policies, strategies and plans.</w:t>
      </w:r>
    </w:p>
    <w:p w14:paraId="10BF6D82" w14:textId="77777777" w:rsidR="00737402" w:rsidRPr="00026BAA" w:rsidRDefault="00737402" w:rsidP="00737402">
      <w:pPr>
        <w:ind w:left="-426"/>
        <w:jc w:val="both"/>
        <w:rPr>
          <w:b/>
          <w:bCs/>
          <w:color w:val="211D1E"/>
          <w:sz w:val="22"/>
          <w:szCs w:val="22"/>
        </w:rPr>
      </w:pPr>
    </w:p>
    <w:p w14:paraId="1AD8C682" w14:textId="77777777" w:rsidR="00737402" w:rsidRPr="00026BAA" w:rsidRDefault="00737402" w:rsidP="00737402">
      <w:pPr>
        <w:ind w:left="-426"/>
        <w:jc w:val="both"/>
        <w:rPr>
          <w:color w:val="000000"/>
          <w:sz w:val="22"/>
          <w:szCs w:val="22"/>
        </w:rPr>
      </w:pPr>
      <w:r w:rsidRPr="001869E5">
        <w:rPr>
          <w:b/>
          <w:bCs/>
          <w:i/>
          <w:color w:val="211D1E"/>
          <w:sz w:val="22"/>
          <w:szCs w:val="22"/>
        </w:rPr>
        <w:t>Disaster Risk Reduction Strategic Framework and Action Plan</w:t>
      </w:r>
      <w:r w:rsidRPr="00026BAA">
        <w:rPr>
          <w:bCs/>
          <w:color w:val="211D1E"/>
          <w:sz w:val="22"/>
          <w:szCs w:val="22"/>
        </w:rPr>
        <w:t>.</w:t>
      </w:r>
      <w:r w:rsidRPr="001869E5">
        <w:rPr>
          <w:b/>
          <w:bCs/>
          <w:color w:val="211D1E"/>
          <w:sz w:val="22"/>
          <w:szCs w:val="22"/>
        </w:rPr>
        <w:t xml:space="preserve"> </w:t>
      </w:r>
      <w:r w:rsidRPr="001869E5">
        <w:rPr>
          <w:color w:val="211D1E"/>
          <w:sz w:val="22"/>
          <w:szCs w:val="22"/>
        </w:rPr>
        <w:t xml:space="preserve">The DRR Strategic Framework and Action Plan </w:t>
      </w:r>
      <w:r w:rsidRPr="00026BAA">
        <w:rPr>
          <w:color w:val="211D1E"/>
          <w:sz w:val="22"/>
          <w:szCs w:val="22"/>
        </w:rPr>
        <w:t>addresses</w:t>
      </w:r>
      <w:r>
        <w:rPr>
          <w:color w:val="211D1E"/>
          <w:sz w:val="22"/>
          <w:szCs w:val="22"/>
        </w:rPr>
        <w:t>,</w:t>
      </w:r>
      <w:r w:rsidRPr="00026BAA">
        <w:rPr>
          <w:color w:val="211D1E"/>
          <w:sz w:val="22"/>
          <w:szCs w:val="22"/>
        </w:rPr>
        <w:t xml:space="preserve"> in particular</w:t>
      </w:r>
      <w:r>
        <w:rPr>
          <w:color w:val="211D1E"/>
          <w:sz w:val="22"/>
          <w:szCs w:val="22"/>
        </w:rPr>
        <w:t>,</w:t>
      </w:r>
      <w:r w:rsidRPr="00026BAA">
        <w:rPr>
          <w:color w:val="211D1E"/>
          <w:sz w:val="22"/>
          <w:szCs w:val="22"/>
        </w:rPr>
        <w:t xml:space="preserve"> the risks of</w:t>
      </w:r>
      <w:r w:rsidRPr="001869E5">
        <w:rPr>
          <w:color w:val="211D1E"/>
          <w:sz w:val="22"/>
          <w:szCs w:val="22"/>
        </w:rPr>
        <w:t xml:space="preserve"> inland flooding, coastal inundation and landslides. The </w:t>
      </w:r>
      <w:r>
        <w:rPr>
          <w:color w:val="211D1E"/>
          <w:sz w:val="22"/>
          <w:szCs w:val="22"/>
        </w:rPr>
        <w:t>g</w:t>
      </w:r>
      <w:r w:rsidRPr="001869E5">
        <w:rPr>
          <w:color w:val="211D1E"/>
          <w:sz w:val="22"/>
          <w:szCs w:val="22"/>
        </w:rPr>
        <w:t xml:space="preserve">overnment </w:t>
      </w:r>
      <w:r w:rsidRPr="00026BAA">
        <w:rPr>
          <w:color w:val="211D1E"/>
          <w:sz w:val="22"/>
          <w:szCs w:val="22"/>
        </w:rPr>
        <w:t>e</w:t>
      </w:r>
      <w:r w:rsidRPr="001869E5">
        <w:rPr>
          <w:color w:val="211D1E"/>
          <w:sz w:val="22"/>
          <w:szCs w:val="22"/>
        </w:rPr>
        <w:t>nacted a</w:t>
      </w:r>
      <w:r w:rsidRPr="00026BAA">
        <w:rPr>
          <w:color w:val="211D1E"/>
          <w:sz w:val="22"/>
          <w:szCs w:val="22"/>
        </w:rPr>
        <w:t>n associated</w:t>
      </w:r>
      <w:r w:rsidRPr="001869E5">
        <w:rPr>
          <w:color w:val="211D1E"/>
          <w:sz w:val="22"/>
          <w:szCs w:val="22"/>
        </w:rPr>
        <w:t xml:space="preserve"> National Disaster Risk Reduction and Management Act in July 2016. </w:t>
      </w:r>
    </w:p>
    <w:p w14:paraId="09441823" w14:textId="77777777" w:rsidR="00737402" w:rsidRPr="00026BAA" w:rsidRDefault="00737402" w:rsidP="00737402">
      <w:pPr>
        <w:ind w:left="-426"/>
        <w:jc w:val="both"/>
        <w:rPr>
          <w:b/>
          <w:bCs/>
          <w:i/>
          <w:iCs/>
          <w:color w:val="000000"/>
          <w:sz w:val="22"/>
          <w:szCs w:val="22"/>
        </w:rPr>
      </w:pPr>
    </w:p>
    <w:p w14:paraId="145E9EF4" w14:textId="77777777" w:rsidR="00737402" w:rsidRPr="006E69BE" w:rsidRDefault="00737402" w:rsidP="00737402">
      <w:pPr>
        <w:ind w:left="-426"/>
        <w:jc w:val="both"/>
        <w:rPr>
          <w:color w:val="000000"/>
          <w:sz w:val="22"/>
          <w:szCs w:val="22"/>
        </w:rPr>
      </w:pPr>
      <w:r w:rsidRPr="001869E5">
        <w:rPr>
          <w:b/>
          <w:bCs/>
          <w:i/>
          <w:iCs/>
          <w:color w:val="000000"/>
          <w:sz w:val="22"/>
          <w:szCs w:val="22"/>
        </w:rPr>
        <w:t xml:space="preserve">Climate Change Charter for Local Authorities </w:t>
      </w:r>
      <w:r w:rsidRPr="001869E5">
        <w:rPr>
          <w:color w:val="000000"/>
          <w:sz w:val="22"/>
          <w:szCs w:val="22"/>
        </w:rPr>
        <w:t xml:space="preserve">In order to mainstream climate change in the development agenda of local authorities, a </w:t>
      </w:r>
      <w:r w:rsidRPr="001869E5">
        <w:rPr>
          <w:iCs/>
          <w:color w:val="000000"/>
          <w:sz w:val="22"/>
          <w:szCs w:val="22"/>
        </w:rPr>
        <w:t>Climate Change Charter for Local Authorities</w:t>
      </w:r>
      <w:r w:rsidRPr="001869E5">
        <w:rPr>
          <w:i/>
          <w:iCs/>
          <w:color w:val="000000"/>
          <w:sz w:val="22"/>
          <w:szCs w:val="22"/>
        </w:rPr>
        <w:t xml:space="preserve"> </w:t>
      </w:r>
      <w:r w:rsidRPr="001869E5">
        <w:rPr>
          <w:color w:val="000000"/>
          <w:sz w:val="22"/>
          <w:szCs w:val="22"/>
        </w:rPr>
        <w:t xml:space="preserve">has been developed with the objective of initiating and upscaling actions on adaptation to the adverse impacts of climate change and on the mitigation of GHGs emissions at council and community levels. </w:t>
      </w:r>
    </w:p>
    <w:p w14:paraId="0D04BEE0" w14:textId="1B98D916" w:rsidR="00737402" w:rsidRDefault="00737402" w:rsidP="00737402">
      <w:pPr>
        <w:ind w:left="-426"/>
        <w:jc w:val="both"/>
        <w:rPr>
          <w:bCs/>
          <w:iCs/>
          <w:color w:val="000000"/>
          <w:sz w:val="22"/>
          <w:szCs w:val="22"/>
        </w:rPr>
      </w:pPr>
    </w:p>
    <w:p w14:paraId="51CCE673" w14:textId="7F7E0E0D" w:rsidR="003E7AAA" w:rsidRPr="003E7AAA" w:rsidRDefault="003E7AAA" w:rsidP="00737402">
      <w:pPr>
        <w:ind w:left="-426"/>
        <w:jc w:val="both"/>
        <w:rPr>
          <w:b/>
          <w:bCs/>
          <w:i/>
          <w:iCs/>
          <w:color w:val="000000"/>
          <w:sz w:val="22"/>
          <w:szCs w:val="22"/>
        </w:rPr>
      </w:pPr>
      <w:r w:rsidRPr="003E7AAA">
        <w:rPr>
          <w:b/>
          <w:bCs/>
          <w:i/>
          <w:iCs/>
          <w:color w:val="000000"/>
          <w:sz w:val="22"/>
          <w:szCs w:val="22"/>
        </w:rPr>
        <w:t>Gender.</w:t>
      </w:r>
      <w:r w:rsidR="006E67BB" w:rsidRPr="006E67BB">
        <w:rPr>
          <w:bCs/>
          <w:i/>
          <w:iCs/>
          <w:color w:val="000000"/>
          <w:sz w:val="22"/>
          <w:szCs w:val="22"/>
        </w:rPr>
        <w:t xml:space="preserve"> </w:t>
      </w:r>
      <w:proofErr w:type="spellStart"/>
      <w:r w:rsidR="00B327B2">
        <w:rPr>
          <w:bCs/>
          <w:iCs/>
          <w:color w:val="000000"/>
          <w:sz w:val="22"/>
          <w:szCs w:val="22"/>
        </w:rPr>
        <w:t>MoSSNSESD</w:t>
      </w:r>
      <w:proofErr w:type="spellEnd"/>
      <w:r w:rsidR="00B327B2">
        <w:rPr>
          <w:bCs/>
          <w:iCs/>
          <w:color w:val="000000"/>
          <w:sz w:val="22"/>
          <w:szCs w:val="22"/>
        </w:rPr>
        <w:t xml:space="preserve"> is currently reviewing its Gender Policy Statement (originally formulated in 2012)</w:t>
      </w:r>
      <w:r w:rsidR="00CE19CF">
        <w:rPr>
          <w:bCs/>
          <w:iCs/>
          <w:color w:val="000000"/>
          <w:sz w:val="22"/>
          <w:szCs w:val="22"/>
        </w:rPr>
        <w:t>, which is consistent with the operational guidelines of the National Gender Policy Framework (2008). The Statement provides a framework for mainstreaming gender in climate policies, programmes and activities, thereby promoting women’s equal participation with men as decision-makers in shaping a sustainable development society.</w:t>
      </w:r>
      <w:r w:rsidR="006E67BB">
        <w:rPr>
          <w:bCs/>
          <w:iCs/>
          <w:color w:val="000000"/>
          <w:sz w:val="22"/>
          <w:szCs w:val="22"/>
        </w:rPr>
        <w:t xml:space="preserve"> </w:t>
      </w:r>
      <w:r>
        <w:rPr>
          <w:b/>
          <w:bCs/>
          <w:i/>
          <w:iCs/>
          <w:color w:val="000000"/>
          <w:sz w:val="22"/>
          <w:szCs w:val="22"/>
        </w:rPr>
        <w:t xml:space="preserve"> </w:t>
      </w:r>
      <w:r w:rsidRPr="003E7AAA">
        <w:rPr>
          <w:b/>
          <w:bCs/>
          <w:i/>
          <w:iCs/>
          <w:color w:val="000000"/>
          <w:sz w:val="22"/>
          <w:szCs w:val="22"/>
        </w:rPr>
        <w:t xml:space="preserve"> </w:t>
      </w:r>
    </w:p>
    <w:p w14:paraId="080F3CDB" w14:textId="77777777" w:rsidR="003E7AAA" w:rsidRPr="006E69BE" w:rsidRDefault="003E7AAA" w:rsidP="00737402">
      <w:pPr>
        <w:ind w:left="-426"/>
        <w:jc w:val="both"/>
        <w:rPr>
          <w:bCs/>
          <w:iCs/>
          <w:color w:val="000000"/>
          <w:sz w:val="22"/>
          <w:szCs w:val="22"/>
        </w:rPr>
      </w:pPr>
    </w:p>
    <w:p w14:paraId="0A1B4EC0" w14:textId="77777777" w:rsidR="00737402" w:rsidRPr="001869E5" w:rsidRDefault="00737402" w:rsidP="00737402">
      <w:pPr>
        <w:ind w:left="-426"/>
        <w:jc w:val="both"/>
        <w:rPr>
          <w:color w:val="000000"/>
          <w:sz w:val="22"/>
          <w:szCs w:val="22"/>
        </w:rPr>
      </w:pPr>
      <w:r w:rsidRPr="006E69BE">
        <w:rPr>
          <w:color w:val="000000"/>
          <w:sz w:val="22"/>
          <w:szCs w:val="22"/>
        </w:rPr>
        <w:t>Relevant sector policies and plans include:</w:t>
      </w:r>
    </w:p>
    <w:p w14:paraId="54A8D824" w14:textId="77777777" w:rsidR="00737402" w:rsidRPr="006E69BE" w:rsidRDefault="00737402" w:rsidP="00737402">
      <w:pPr>
        <w:ind w:left="-426"/>
        <w:jc w:val="both"/>
        <w:rPr>
          <w:sz w:val="22"/>
          <w:szCs w:val="22"/>
        </w:rPr>
      </w:pPr>
    </w:p>
    <w:p w14:paraId="6C78C65A" w14:textId="436F5F66" w:rsidR="00737402" w:rsidRPr="00A25DB6" w:rsidRDefault="00737402" w:rsidP="00737402">
      <w:pPr>
        <w:ind w:left="-426"/>
        <w:jc w:val="both"/>
        <w:rPr>
          <w:sz w:val="22"/>
          <w:szCs w:val="22"/>
        </w:rPr>
      </w:pPr>
      <w:r w:rsidRPr="006E69BE">
        <w:rPr>
          <w:sz w:val="22"/>
          <w:szCs w:val="22"/>
        </w:rPr>
        <w:t xml:space="preserve">The </w:t>
      </w:r>
      <w:r w:rsidRPr="006E69BE">
        <w:rPr>
          <w:b/>
          <w:i/>
          <w:sz w:val="22"/>
          <w:szCs w:val="22"/>
        </w:rPr>
        <w:t>Long-term Energy Strategy 2009-2025</w:t>
      </w:r>
      <w:r w:rsidRPr="006E69BE">
        <w:rPr>
          <w:sz w:val="22"/>
          <w:szCs w:val="22"/>
        </w:rPr>
        <w:t xml:space="preserve"> (LTES) is currently </w:t>
      </w:r>
      <w:r>
        <w:rPr>
          <w:sz w:val="22"/>
          <w:szCs w:val="22"/>
        </w:rPr>
        <w:t xml:space="preserve">being </w:t>
      </w:r>
      <w:r w:rsidRPr="006E69BE">
        <w:rPr>
          <w:sz w:val="22"/>
          <w:szCs w:val="22"/>
        </w:rPr>
        <w:t xml:space="preserve">updated and will cover the period up to </w:t>
      </w:r>
      <w:r w:rsidRPr="00A25DB6">
        <w:rPr>
          <w:sz w:val="22"/>
          <w:szCs w:val="22"/>
        </w:rPr>
        <w:t xml:space="preserve">2030; </w:t>
      </w:r>
      <w:r w:rsidR="00FF465B">
        <w:rPr>
          <w:sz w:val="22"/>
          <w:szCs w:val="22"/>
        </w:rPr>
        <w:t>the</w:t>
      </w:r>
      <w:r w:rsidR="00FF465B" w:rsidRPr="00FF465B">
        <w:rPr>
          <w:sz w:val="22"/>
          <w:szCs w:val="22"/>
        </w:rPr>
        <w:t xml:space="preserve"> revised LTES will be prepared for the period 2019-2030 with a target of 35% renewable energy in the electricity mix by 2025, to be maintained until 2030</w:t>
      </w:r>
      <w:r w:rsidR="00FF465B">
        <w:rPr>
          <w:sz w:val="22"/>
          <w:szCs w:val="22"/>
        </w:rPr>
        <w:t xml:space="preserve">. </w:t>
      </w:r>
      <w:r w:rsidRPr="00A25DB6">
        <w:rPr>
          <w:sz w:val="22"/>
          <w:szCs w:val="22"/>
        </w:rPr>
        <w:t xml:space="preserve">The </w:t>
      </w:r>
      <w:r w:rsidRPr="00A25DB6">
        <w:rPr>
          <w:b/>
          <w:i/>
          <w:sz w:val="22"/>
          <w:szCs w:val="22"/>
        </w:rPr>
        <w:t>Energy Efficiency Master Plan</w:t>
      </w:r>
      <w:r w:rsidRPr="00A25DB6">
        <w:rPr>
          <w:sz w:val="22"/>
          <w:szCs w:val="22"/>
        </w:rPr>
        <w:t xml:space="preserve"> has been validated and the </w:t>
      </w:r>
      <w:r w:rsidRPr="00A25DB6">
        <w:rPr>
          <w:b/>
          <w:i/>
          <w:sz w:val="22"/>
          <w:szCs w:val="22"/>
        </w:rPr>
        <w:t>Renewable Energy Master Plan</w:t>
      </w:r>
      <w:r w:rsidRPr="00A25DB6">
        <w:rPr>
          <w:sz w:val="22"/>
          <w:szCs w:val="22"/>
        </w:rPr>
        <w:t xml:space="preserve"> </w:t>
      </w:r>
      <w:r w:rsidR="00FF465B">
        <w:rPr>
          <w:sz w:val="22"/>
          <w:szCs w:val="22"/>
        </w:rPr>
        <w:t xml:space="preserve">has been </w:t>
      </w:r>
      <w:r w:rsidRPr="00A25DB6">
        <w:rPr>
          <w:sz w:val="22"/>
          <w:szCs w:val="22"/>
        </w:rPr>
        <w:t>finalised.</w:t>
      </w:r>
    </w:p>
    <w:p w14:paraId="705E4C66" w14:textId="77777777" w:rsidR="00737402" w:rsidRPr="00A25DB6" w:rsidRDefault="00737402" w:rsidP="00737402">
      <w:pPr>
        <w:ind w:left="-426"/>
        <w:jc w:val="both"/>
        <w:rPr>
          <w:sz w:val="22"/>
          <w:szCs w:val="22"/>
        </w:rPr>
      </w:pPr>
    </w:p>
    <w:p w14:paraId="6CA5DFDC" w14:textId="77777777" w:rsidR="00737402" w:rsidRPr="00A25DB6" w:rsidRDefault="00737402" w:rsidP="00737402">
      <w:pPr>
        <w:ind w:left="-426"/>
        <w:jc w:val="both"/>
        <w:rPr>
          <w:sz w:val="22"/>
          <w:szCs w:val="22"/>
        </w:rPr>
      </w:pPr>
      <w:r w:rsidRPr="00A25DB6">
        <w:rPr>
          <w:sz w:val="22"/>
          <w:szCs w:val="22"/>
        </w:rPr>
        <w:t xml:space="preserve">The </w:t>
      </w:r>
      <w:r w:rsidRPr="00A25DB6">
        <w:rPr>
          <w:b/>
          <w:bCs/>
          <w:i/>
          <w:iCs/>
          <w:noProof/>
          <w:sz w:val="22"/>
          <w:szCs w:val="22"/>
        </w:rPr>
        <w:t xml:space="preserve">Light Rail Transport (LRT) Metro Express Project </w:t>
      </w:r>
      <w:r w:rsidRPr="00A25DB6">
        <w:rPr>
          <w:bCs/>
          <w:iCs/>
          <w:noProof/>
          <w:sz w:val="22"/>
          <w:szCs w:val="22"/>
        </w:rPr>
        <w:t xml:space="preserve">was </w:t>
      </w:r>
      <w:r w:rsidRPr="00A25DB6">
        <w:rPr>
          <w:noProof/>
          <w:sz w:val="22"/>
          <w:szCs w:val="22"/>
        </w:rPr>
        <w:t xml:space="preserve">approved in 2016 and construction began in March 2017 on the occasion of </w:t>
      </w:r>
      <w:r>
        <w:rPr>
          <w:noProof/>
          <w:sz w:val="22"/>
          <w:szCs w:val="22"/>
        </w:rPr>
        <w:t xml:space="preserve">the </w:t>
      </w:r>
      <w:r w:rsidRPr="00A25DB6">
        <w:rPr>
          <w:noProof/>
          <w:sz w:val="22"/>
          <w:szCs w:val="22"/>
        </w:rPr>
        <w:t>25</w:t>
      </w:r>
      <w:r w:rsidRPr="00A25DB6">
        <w:rPr>
          <w:noProof/>
          <w:sz w:val="22"/>
          <w:szCs w:val="22"/>
          <w:vertAlign w:val="superscript"/>
        </w:rPr>
        <w:t>th</w:t>
      </w:r>
      <w:r w:rsidRPr="00A25DB6">
        <w:rPr>
          <w:noProof/>
          <w:sz w:val="22"/>
          <w:szCs w:val="22"/>
        </w:rPr>
        <w:t xml:space="preserve"> Republic Day Anniversary in Mauritius. The project is intended to be complete by 2021, with Phase 1 between Port Louis and Rose Hill expected to be completed by September 2019 and Phase 2 – taking the line to 28km in length – between Rose Hill and Curepipe to be completed by September 2021. The Metro Express will be the only railway line in the country.</w:t>
      </w:r>
    </w:p>
    <w:p w14:paraId="3289F009" w14:textId="77777777" w:rsidR="00737402" w:rsidRPr="00A25DB6" w:rsidRDefault="00737402" w:rsidP="00737402">
      <w:pPr>
        <w:ind w:left="-426"/>
        <w:jc w:val="both"/>
        <w:rPr>
          <w:sz w:val="22"/>
          <w:szCs w:val="22"/>
        </w:rPr>
      </w:pPr>
    </w:p>
    <w:p w14:paraId="70CA5F82" w14:textId="77777777" w:rsidR="00737402" w:rsidRPr="006E69BE" w:rsidRDefault="00737402" w:rsidP="00737402">
      <w:pPr>
        <w:ind w:left="-426"/>
        <w:jc w:val="both"/>
        <w:rPr>
          <w:sz w:val="22"/>
          <w:szCs w:val="22"/>
        </w:rPr>
      </w:pPr>
      <w:r w:rsidRPr="00A25DB6">
        <w:rPr>
          <w:sz w:val="22"/>
          <w:szCs w:val="22"/>
        </w:rPr>
        <w:t xml:space="preserve">The </w:t>
      </w:r>
      <w:r w:rsidRPr="00A25DB6">
        <w:rPr>
          <w:b/>
          <w:i/>
          <w:sz w:val="22"/>
          <w:szCs w:val="22"/>
        </w:rPr>
        <w:t>Strategic</w:t>
      </w:r>
      <w:r w:rsidRPr="006E69BE">
        <w:rPr>
          <w:b/>
          <w:i/>
          <w:sz w:val="22"/>
          <w:szCs w:val="22"/>
        </w:rPr>
        <w:t xml:space="preserve"> Plan 2016-2020 for Food Crops, Livestock and Forestry</w:t>
      </w:r>
      <w:r w:rsidRPr="006E69BE">
        <w:rPr>
          <w:sz w:val="22"/>
          <w:szCs w:val="22"/>
        </w:rPr>
        <w:t xml:space="preserve"> focuses on promoting sustainable management of land, water and other natural resources, and on building capacity to enable farmers to transition to ‘climate-smart agriculture’. A number of strategies and action plans have been formulated to halt and reverse the trend of forest loss and degradation</w:t>
      </w:r>
      <w:r>
        <w:rPr>
          <w:sz w:val="22"/>
          <w:szCs w:val="22"/>
        </w:rPr>
        <w:t xml:space="preserve">, including </w:t>
      </w:r>
      <w:r w:rsidRPr="006E69BE">
        <w:rPr>
          <w:sz w:val="22"/>
          <w:szCs w:val="22"/>
        </w:rPr>
        <w:t xml:space="preserve">the </w:t>
      </w:r>
      <w:r w:rsidRPr="006E69BE">
        <w:rPr>
          <w:b/>
          <w:i/>
          <w:sz w:val="22"/>
          <w:szCs w:val="22"/>
        </w:rPr>
        <w:t>National Forest Policy</w:t>
      </w:r>
      <w:r w:rsidRPr="006E69BE">
        <w:rPr>
          <w:sz w:val="22"/>
          <w:szCs w:val="22"/>
        </w:rPr>
        <w:t xml:space="preserve"> (2006), the </w:t>
      </w:r>
      <w:r w:rsidRPr="006E69BE">
        <w:rPr>
          <w:b/>
          <w:i/>
          <w:sz w:val="22"/>
          <w:szCs w:val="22"/>
        </w:rPr>
        <w:t>National Biodiversity Strategy &amp; Action Plan</w:t>
      </w:r>
      <w:r w:rsidRPr="006E69BE">
        <w:rPr>
          <w:sz w:val="22"/>
          <w:szCs w:val="22"/>
        </w:rPr>
        <w:t xml:space="preserve"> (2016-2020) and the </w:t>
      </w:r>
      <w:r w:rsidRPr="002B0788">
        <w:rPr>
          <w:b/>
          <w:i/>
          <w:sz w:val="22"/>
          <w:szCs w:val="22"/>
        </w:rPr>
        <w:t>Protected Area Network (PAN) Expansion Strategy</w:t>
      </w:r>
      <w:r w:rsidRPr="006E69BE">
        <w:rPr>
          <w:sz w:val="22"/>
          <w:szCs w:val="22"/>
        </w:rPr>
        <w:t>.</w:t>
      </w:r>
    </w:p>
    <w:p w14:paraId="1EBF010E" w14:textId="77777777" w:rsidR="00737402" w:rsidRDefault="00737402" w:rsidP="00737402">
      <w:pPr>
        <w:ind w:left="-426"/>
        <w:jc w:val="both"/>
        <w:rPr>
          <w:sz w:val="22"/>
          <w:szCs w:val="22"/>
        </w:rPr>
      </w:pPr>
    </w:p>
    <w:p w14:paraId="20982F42" w14:textId="77777777" w:rsidR="00737402" w:rsidRDefault="00737402" w:rsidP="00737402">
      <w:pPr>
        <w:ind w:left="-426"/>
        <w:jc w:val="both"/>
        <w:rPr>
          <w:sz w:val="22"/>
          <w:szCs w:val="22"/>
        </w:rPr>
      </w:pPr>
      <w:r>
        <w:rPr>
          <w:sz w:val="22"/>
          <w:szCs w:val="22"/>
        </w:rPr>
        <w:t xml:space="preserve">(ii) </w:t>
      </w:r>
      <w:r w:rsidRPr="006B223C">
        <w:rPr>
          <w:sz w:val="22"/>
          <w:szCs w:val="22"/>
          <w:u w:val="single"/>
        </w:rPr>
        <w:t>Institutional framework for climate action</w:t>
      </w:r>
    </w:p>
    <w:p w14:paraId="0959C129" w14:textId="77777777" w:rsidR="00737402" w:rsidRPr="00BB2CD1" w:rsidRDefault="00737402" w:rsidP="00737402">
      <w:pPr>
        <w:ind w:left="-426"/>
        <w:jc w:val="both"/>
        <w:rPr>
          <w:sz w:val="22"/>
          <w:szCs w:val="22"/>
        </w:rPr>
      </w:pPr>
    </w:p>
    <w:p w14:paraId="5353EEA0" w14:textId="1F5748EC" w:rsidR="00737402" w:rsidRPr="001E275F" w:rsidRDefault="00737402" w:rsidP="00737402">
      <w:pPr>
        <w:ind w:left="-426"/>
        <w:jc w:val="both"/>
        <w:rPr>
          <w:sz w:val="22"/>
          <w:szCs w:val="22"/>
        </w:rPr>
      </w:pPr>
      <w:r>
        <w:rPr>
          <w:sz w:val="22"/>
          <w:szCs w:val="22"/>
        </w:rPr>
        <w:t xml:space="preserve">The National Environment Commission, chaired by the Prime Minister and consisting of relevant line Ministers, is responsible for setting national environmental objectives and targets, and for ensuring coordination between ministries, parastatals and local authorities engaged in environmental programmes. </w:t>
      </w:r>
      <w:r w:rsidRPr="00F61922">
        <w:rPr>
          <w:sz w:val="22"/>
          <w:szCs w:val="22"/>
        </w:rPr>
        <w:t xml:space="preserve">The </w:t>
      </w:r>
      <w:r w:rsidR="00F61922" w:rsidRPr="00F61922">
        <w:rPr>
          <w:sz w:val="22"/>
          <w:szCs w:val="22"/>
        </w:rPr>
        <w:t>Ministry of Social Security, National Solidarity, and Environment and Sustainable Development (</w:t>
      </w:r>
      <w:proofErr w:type="spellStart"/>
      <w:r w:rsidR="00F61922" w:rsidRPr="00F61922">
        <w:rPr>
          <w:sz w:val="22"/>
          <w:szCs w:val="22"/>
        </w:rPr>
        <w:t>MoSSNSESD</w:t>
      </w:r>
      <w:proofErr w:type="spellEnd"/>
      <w:r w:rsidR="00F61922" w:rsidRPr="00F61922">
        <w:rPr>
          <w:sz w:val="22"/>
          <w:szCs w:val="22"/>
        </w:rPr>
        <w:t xml:space="preserve">) </w:t>
      </w:r>
      <w:r w:rsidRPr="00F61922">
        <w:rPr>
          <w:sz w:val="22"/>
          <w:szCs w:val="22"/>
        </w:rPr>
        <w:t>serves</w:t>
      </w:r>
      <w:r>
        <w:rPr>
          <w:sz w:val="22"/>
          <w:szCs w:val="22"/>
        </w:rPr>
        <w:t xml:space="preserve"> as</w:t>
      </w:r>
      <w:r w:rsidRPr="00BB2CD1">
        <w:rPr>
          <w:sz w:val="22"/>
          <w:szCs w:val="22"/>
        </w:rPr>
        <w:t xml:space="preserve"> the </w:t>
      </w:r>
      <w:r>
        <w:rPr>
          <w:sz w:val="22"/>
          <w:szCs w:val="22"/>
        </w:rPr>
        <w:t>UNFCCC F</w:t>
      </w:r>
      <w:r w:rsidRPr="00BB2CD1">
        <w:rPr>
          <w:sz w:val="22"/>
          <w:szCs w:val="22"/>
        </w:rPr>
        <w:t xml:space="preserve">ocal </w:t>
      </w:r>
      <w:r>
        <w:rPr>
          <w:sz w:val="22"/>
          <w:szCs w:val="22"/>
        </w:rPr>
        <w:t>P</w:t>
      </w:r>
      <w:r w:rsidRPr="00BB2CD1">
        <w:rPr>
          <w:sz w:val="22"/>
          <w:szCs w:val="22"/>
        </w:rPr>
        <w:t xml:space="preserve">oint. It coordinates </w:t>
      </w:r>
      <w:r w:rsidRPr="001E275F">
        <w:rPr>
          <w:sz w:val="22"/>
          <w:szCs w:val="22"/>
        </w:rPr>
        <w:t xml:space="preserve">Mauritius’s actions on climate change, including the NDC, through its Climate Change Division (CCD). </w:t>
      </w:r>
      <w:r w:rsidR="00CE69C2" w:rsidRPr="001E275F">
        <w:rPr>
          <w:sz w:val="22"/>
          <w:szCs w:val="22"/>
        </w:rPr>
        <w:t xml:space="preserve">CCD contains </w:t>
      </w:r>
      <w:r w:rsidR="00351293" w:rsidRPr="001E275F">
        <w:rPr>
          <w:sz w:val="22"/>
          <w:szCs w:val="22"/>
        </w:rPr>
        <w:t>nine (9)</w:t>
      </w:r>
      <w:r w:rsidR="00CE69C2" w:rsidRPr="001E275F">
        <w:rPr>
          <w:sz w:val="22"/>
          <w:szCs w:val="22"/>
        </w:rPr>
        <w:t xml:space="preserve"> staff members, </w:t>
      </w:r>
      <w:r w:rsidR="00351293" w:rsidRPr="001E275F">
        <w:rPr>
          <w:sz w:val="22"/>
          <w:szCs w:val="22"/>
        </w:rPr>
        <w:t xml:space="preserve">consisting of seven </w:t>
      </w:r>
      <w:r w:rsidR="00A53C85" w:rsidRPr="001E275F">
        <w:rPr>
          <w:sz w:val="22"/>
          <w:szCs w:val="22"/>
        </w:rPr>
        <w:t xml:space="preserve">Environment Officers, one Divisional Environment Officer and one person attached to the </w:t>
      </w:r>
      <w:r w:rsidR="00EA401D" w:rsidRPr="001E275F">
        <w:rPr>
          <w:sz w:val="22"/>
          <w:szCs w:val="22"/>
        </w:rPr>
        <w:t>CCD</w:t>
      </w:r>
      <w:r w:rsidR="00A53C85" w:rsidRPr="001E275F">
        <w:rPr>
          <w:sz w:val="22"/>
          <w:szCs w:val="22"/>
        </w:rPr>
        <w:t xml:space="preserve"> under the Service to Mauritius</w:t>
      </w:r>
      <w:r w:rsidR="00EA401D" w:rsidRPr="001E275F">
        <w:rPr>
          <w:sz w:val="22"/>
          <w:szCs w:val="22"/>
        </w:rPr>
        <w:t xml:space="preserve"> Scheme</w:t>
      </w:r>
      <w:r w:rsidR="00A53C85" w:rsidRPr="001E275F">
        <w:rPr>
          <w:sz w:val="22"/>
          <w:szCs w:val="22"/>
        </w:rPr>
        <w:t>.  All the staff of the CCD work on transparency issues as the latter encompasses miti</w:t>
      </w:r>
      <w:r w:rsidR="00EA401D" w:rsidRPr="001E275F">
        <w:rPr>
          <w:sz w:val="22"/>
          <w:szCs w:val="22"/>
        </w:rPr>
        <w:t>g</w:t>
      </w:r>
      <w:r w:rsidR="00A53C85" w:rsidRPr="001E275F">
        <w:rPr>
          <w:sz w:val="22"/>
          <w:szCs w:val="22"/>
        </w:rPr>
        <w:t xml:space="preserve">ation, adaptation and monitoring, reporting and verification actions.  Regarding matters pertaining to financial issues, the inputs of the Finance Section of the Ministry are also sought.  More specifically, for the CBIT project, two officers </w:t>
      </w:r>
      <w:r w:rsidR="00EA401D" w:rsidRPr="001E275F">
        <w:rPr>
          <w:sz w:val="22"/>
          <w:szCs w:val="22"/>
        </w:rPr>
        <w:t xml:space="preserve">of the CCD </w:t>
      </w:r>
      <w:r w:rsidR="00A53C85" w:rsidRPr="001E275F">
        <w:rPr>
          <w:sz w:val="22"/>
          <w:szCs w:val="22"/>
        </w:rPr>
        <w:t>will be assigned to the project</w:t>
      </w:r>
      <w:r w:rsidR="00CE69C2" w:rsidRPr="001E275F">
        <w:rPr>
          <w:sz w:val="22"/>
          <w:szCs w:val="22"/>
        </w:rPr>
        <w:t>.</w:t>
      </w:r>
    </w:p>
    <w:p w14:paraId="55F65AD2" w14:textId="77777777" w:rsidR="00737402" w:rsidRPr="001E275F" w:rsidRDefault="00737402" w:rsidP="00737402">
      <w:pPr>
        <w:ind w:left="-426"/>
        <w:jc w:val="both"/>
        <w:rPr>
          <w:sz w:val="22"/>
          <w:szCs w:val="22"/>
        </w:rPr>
      </w:pPr>
    </w:p>
    <w:p w14:paraId="67071D4D" w14:textId="040F1C72" w:rsidR="00737402" w:rsidRDefault="00737402" w:rsidP="00737402">
      <w:pPr>
        <w:ind w:left="-426"/>
        <w:jc w:val="both"/>
        <w:rPr>
          <w:color w:val="000000"/>
          <w:sz w:val="22"/>
          <w:szCs w:val="22"/>
        </w:rPr>
      </w:pPr>
      <w:r w:rsidRPr="001E275F">
        <w:rPr>
          <w:color w:val="000000"/>
          <w:sz w:val="22"/>
          <w:szCs w:val="22"/>
        </w:rPr>
        <w:t>A Project Steering Committee</w:t>
      </w:r>
      <w:r w:rsidRPr="00F747F4">
        <w:rPr>
          <w:color w:val="000000"/>
          <w:sz w:val="22"/>
          <w:szCs w:val="22"/>
        </w:rPr>
        <w:t xml:space="preserve"> (PSC), under the chair of the Permanent Secretary of </w:t>
      </w:r>
      <w:proofErr w:type="spellStart"/>
      <w:r w:rsidRPr="00F747F4">
        <w:rPr>
          <w:color w:val="000000"/>
          <w:sz w:val="22"/>
          <w:szCs w:val="22"/>
        </w:rPr>
        <w:t>Mo</w:t>
      </w:r>
      <w:r w:rsidR="00C6649C">
        <w:rPr>
          <w:color w:val="000000"/>
          <w:sz w:val="22"/>
          <w:szCs w:val="22"/>
        </w:rPr>
        <w:t>SSNSESD</w:t>
      </w:r>
      <w:proofErr w:type="spellEnd"/>
      <w:r w:rsidRPr="00F747F4">
        <w:rPr>
          <w:color w:val="000000"/>
          <w:sz w:val="22"/>
          <w:szCs w:val="22"/>
        </w:rPr>
        <w:t>, was set up to provide guidance and facilitate political and stakeholder acceptance of the outcomes of the Third National Communication (TNC</w:t>
      </w:r>
      <w:r>
        <w:rPr>
          <w:color w:val="000000"/>
          <w:sz w:val="22"/>
          <w:szCs w:val="22"/>
        </w:rPr>
        <w:t>, 2016</w:t>
      </w:r>
      <w:r w:rsidRPr="00F747F4">
        <w:rPr>
          <w:color w:val="000000"/>
          <w:sz w:val="22"/>
          <w:szCs w:val="22"/>
        </w:rPr>
        <w:t xml:space="preserve">). A Project Technical Committee under the chair of the Director of Environment was set up to provide operational leadership to the TNC process and to deal principally with technical aspects of the TNC. Five Technical Working Groups (TWGs) were established to oversee the implementation of climate change activities in key areas, namely: the GHG inventory; mitigation assessment and environmentally-sound technologies; adaptation; education, training and public awareness; and research and systematic observation. Four additional Working Groups were established to focus on: national circumstances and the integration of climate change considerations into sustainable development plans; knowledge, information sharing and networking; </w:t>
      </w:r>
      <w:r w:rsidRPr="00F747F4">
        <w:rPr>
          <w:color w:val="000000"/>
          <w:sz w:val="22"/>
          <w:szCs w:val="22"/>
        </w:rPr>
        <w:lastRenderedPageBreak/>
        <w:t xml:space="preserve">capacity building; constraints and gaps; and related financial, technical and capacity needs. A total of 75 institutions were involved in the TNC process. </w:t>
      </w:r>
    </w:p>
    <w:p w14:paraId="16FC0C36" w14:textId="77777777" w:rsidR="00737402" w:rsidRDefault="00737402" w:rsidP="00737402">
      <w:pPr>
        <w:ind w:left="-426"/>
        <w:jc w:val="both"/>
        <w:rPr>
          <w:color w:val="000000"/>
          <w:sz w:val="22"/>
          <w:szCs w:val="22"/>
        </w:rPr>
      </w:pPr>
    </w:p>
    <w:p w14:paraId="5E6D230C" w14:textId="0513439E" w:rsidR="00737402" w:rsidRPr="00F747F4" w:rsidRDefault="00737402" w:rsidP="00737402">
      <w:pPr>
        <w:ind w:left="-426"/>
        <w:jc w:val="both"/>
        <w:rPr>
          <w:sz w:val="22"/>
          <w:szCs w:val="22"/>
        </w:rPr>
      </w:pPr>
      <w:r>
        <w:rPr>
          <w:color w:val="000000"/>
          <w:sz w:val="22"/>
          <w:szCs w:val="22"/>
        </w:rPr>
        <w:t xml:space="preserve">For the national GHG inventory, six Sub-TWGs were constituted, consisting largely of </w:t>
      </w:r>
      <w:r w:rsidR="00A3079B">
        <w:rPr>
          <w:color w:val="000000"/>
          <w:sz w:val="22"/>
          <w:szCs w:val="22"/>
        </w:rPr>
        <w:t xml:space="preserve">Ministries’ </w:t>
      </w:r>
      <w:r>
        <w:rPr>
          <w:color w:val="000000"/>
          <w:sz w:val="22"/>
          <w:szCs w:val="22"/>
        </w:rPr>
        <w:t>and Department</w:t>
      </w:r>
      <w:r w:rsidR="00A3079B">
        <w:rPr>
          <w:color w:val="000000"/>
          <w:sz w:val="22"/>
          <w:szCs w:val="22"/>
        </w:rPr>
        <w:t>s’</w:t>
      </w:r>
      <w:r>
        <w:rPr>
          <w:color w:val="000000"/>
          <w:sz w:val="22"/>
          <w:szCs w:val="22"/>
        </w:rPr>
        <w:t xml:space="preserve"> staff, as well as personnel from parastatals (such as the Central Electricity Board, CEB) and the private sector. These Sub-TWGs were: Energy Industries, Transport, Energy Other Sector, IPPU, AFOLU and Waste. Over 50 institutions were involved in collecting and processing inventory data. Notable participants included Statistics Mauritius, the Ministry of Housing and Lands, the Ministry of Energy and Public Utilities, the National Transport Authority,</w:t>
      </w:r>
      <w:r w:rsidR="00660008">
        <w:rPr>
          <w:color w:val="000000"/>
          <w:sz w:val="22"/>
          <w:szCs w:val="22"/>
        </w:rPr>
        <w:t xml:space="preserve"> </w:t>
      </w:r>
      <w:r w:rsidR="00C550E6">
        <w:rPr>
          <w:color w:val="000000"/>
          <w:sz w:val="22"/>
          <w:szCs w:val="22"/>
        </w:rPr>
        <w:t xml:space="preserve">the </w:t>
      </w:r>
      <w:r w:rsidR="00660008">
        <w:rPr>
          <w:color w:val="000000"/>
          <w:sz w:val="22"/>
          <w:szCs w:val="22"/>
        </w:rPr>
        <w:t xml:space="preserve">Ministry of Industry, Commerce and Consumer Protection (Industry Division), </w:t>
      </w:r>
      <w:r>
        <w:rPr>
          <w:color w:val="000000"/>
          <w:sz w:val="22"/>
          <w:szCs w:val="22"/>
        </w:rPr>
        <w:t xml:space="preserve"> the Mauritius Cane Industry Authority, the Forestry Service, the Food Agricultural Research and Extension Institute, </w:t>
      </w:r>
      <w:r w:rsidR="00660008">
        <w:rPr>
          <w:color w:val="000000"/>
          <w:sz w:val="22"/>
          <w:szCs w:val="22"/>
        </w:rPr>
        <w:t>the Solid Waste Managem</w:t>
      </w:r>
      <w:r w:rsidR="00C550E6">
        <w:rPr>
          <w:color w:val="000000"/>
          <w:sz w:val="22"/>
          <w:szCs w:val="22"/>
        </w:rPr>
        <w:t>e</w:t>
      </w:r>
      <w:r w:rsidR="00660008">
        <w:rPr>
          <w:color w:val="000000"/>
          <w:sz w:val="22"/>
          <w:szCs w:val="22"/>
        </w:rPr>
        <w:t xml:space="preserve">nt Division, </w:t>
      </w:r>
      <w:r>
        <w:rPr>
          <w:color w:val="000000"/>
          <w:sz w:val="22"/>
          <w:szCs w:val="22"/>
        </w:rPr>
        <w:t>the Wastewater Management Authority and others. The Climate Change Division (CCD) was responsible for coordinating data collection</w:t>
      </w:r>
      <w:r w:rsidR="002D78D6">
        <w:rPr>
          <w:color w:val="000000"/>
          <w:sz w:val="22"/>
          <w:szCs w:val="22"/>
        </w:rPr>
        <w:t xml:space="preserve">. </w:t>
      </w:r>
      <w:r w:rsidR="002D78D6" w:rsidRPr="002D78D6">
        <w:rPr>
          <w:color w:val="000000"/>
          <w:sz w:val="22"/>
          <w:szCs w:val="22"/>
        </w:rPr>
        <w:t>Input of data in</w:t>
      </w:r>
      <w:r w:rsidR="00C550E6">
        <w:rPr>
          <w:color w:val="000000"/>
          <w:sz w:val="22"/>
          <w:szCs w:val="22"/>
        </w:rPr>
        <w:t>to the</w:t>
      </w:r>
      <w:r w:rsidR="002D78D6" w:rsidRPr="002D78D6">
        <w:rPr>
          <w:color w:val="000000"/>
          <w:sz w:val="22"/>
          <w:szCs w:val="22"/>
        </w:rPr>
        <w:t xml:space="preserve"> </w:t>
      </w:r>
      <w:r w:rsidR="002D78D6">
        <w:rPr>
          <w:color w:val="000000"/>
          <w:sz w:val="22"/>
          <w:szCs w:val="22"/>
        </w:rPr>
        <w:t xml:space="preserve">2006 </w:t>
      </w:r>
      <w:r w:rsidR="002D78D6" w:rsidRPr="002D78D6">
        <w:rPr>
          <w:color w:val="000000"/>
          <w:sz w:val="22"/>
          <w:szCs w:val="22"/>
        </w:rPr>
        <w:t xml:space="preserve">IPCC </w:t>
      </w:r>
      <w:r w:rsidR="002D78D6">
        <w:rPr>
          <w:color w:val="000000"/>
          <w:sz w:val="22"/>
          <w:szCs w:val="22"/>
        </w:rPr>
        <w:t xml:space="preserve">inventory </w:t>
      </w:r>
      <w:r w:rsidR="002D78D6" w:rsidRPr="002D78D6">
        <w:rPr>
          <w:color w:val="000000"/>
          <w:sz w:val="22"/>
          <w:szCs w:val="22"/>
        </w:rPr>
        <w:t xml:space="preserve">software was </w:t>
      </w:r>
      <w:r w:rsidR="00C550E6">
        <w:rPr>
          <w:color w:val="000000"/>
          <w:sz w:val="22"/>
          <w:szCs w:val="22"/>
        </w:rPr>
        <w:t>undertaken</w:t>
      </w:r>
      <w:r w:rsidR="002D78D6" w:rsidRPr="002D78D6">
        <w:rPr>
          <w:color w:val="000000"/>
          <w:sz w:val="22"/>
          <w:szCs w:val="22"/>
        </w:rPr>
        <w:t xml:space="preserve"> by </w:t>
      </w:r>
      <w:r w:rsidR="002D78D6">
        <w:rPr>
          <w:color w:val="000000"/>
          <w:sz w:val="22"/>
          <w:szCs w:val="22"/>
        </w:rPr>
        <w:t>c</w:t>
      </w:r>
      <w:r w:rsidR="002D78D6" w:rsidRPr="002D78D6">
        <w:rPr>
          <w:color w:val="000000"/>
          <w:sz w:val="22"/>
          <w:szCs w:val="22"/>
        </w:rPr>
        <w:t xml:space="preserve">onsultants and some Team Leaders </w:t>
      </w:r>
      <w:r>
        <w:rPr>
          <w:color w:val="000000"/>
          <w:sz w:val="22"/>
          <w:szCs w:val="22"/>
        </w:rPr>
        <w:t xml:space="preserve">. Data processing – i.e. converting data into the form required for the IPCC software – was a laborious process that varied from sector to sector according to data availability and individual institutional capacities. </w:t>
      </w:r>
    </w:p>
    <w:p w14:paraId="1BE65C60" w14:textId="77777777" w:rsidR="00737402" w:rsidRPr="00BB2CD1" w:rsidRDefault="00737402" w:rsidP="00737402">
      <w:pPr>
        <w:ind w:left="-426"/>
        <w:jc w:val="both"/>
        <w:rPr>
          <w:sz w:val="22"/>
          <w:szCs w:val="22"/>
        </w:rPr>
      </w:pPr>
    </w:p>
    <w:p w14:paraId="6F72A09F" w14:textId="77777777" w:rsidR="00737402" w:rsidRDefault="00737402" w:rsidP="00737402">
      <w:pPr>
        <w:ind w:left="-426"/>
        <w:jc w:val="both"/>
        <w:rPr>
          <w:sz w:val="22"/>
          <w:szCs w:val="22"/>
        </w:rPr>
      </w:pPr>
      <w:r>
        <w:rPr>
          <w:sz w:val="22"/>
          <w:szCs w:val="22"/>
        </w:rPr>
        <w:t xml:space="preserve">(iii) </w:t>
      </w:r>
      <w:r w:rsidRPr="00FC5728">
        <w:rPr>
          <w:sz w:val="22"/>
          <w:szCs w:val="22"/>
          <w:u w:val="single"/>
        </w:rPr>
        <w:t>Baseline barriers to enhanced GHG emissions transparency</w:t>
      </w:r>
    </w:p>
    <w:p w14:paraId="1B88D41F" w14:textId="77777777" w:rsidR="00737402" w:rsidRDefault="00737402" w:rsidP="00737402">
      <w:pPr>
        <w:ind w:left="-426"/>
        <w:jc w:val="both"/>
        <w:rPr>
          <w:sz w:val="22"/>
          <w:szCs w:val="22"/>
        </w:rPr>
      </w:pPr>
    </w:p>
    <w:p w14:paraId="6B3E7383" w14:textId="6DA0FD60" w:rsidR="00737402" w:rsidRDefault="00737402" w:rsidP="00737402">
      <w:pPr>
        <w:ind w:left="-426"/>
        <w:jc w:val="both"/>
        <w:rPr>
          <w:sz w:val="22"/>
          <w:szCs w:val="22"/>
        </w:rPr>
      </w:pPr>
      <w:r>
        <w:rPr>
          <w:sz w:val="22"/>
          <w:szCs w:val="22"/>
        </w:rPr>
        <w:t xml:space="preserve">Figure 1 presents the baseline scenario problem tree. As outlined above, the national GHG inventory confronts four barriers to improvement: insufficient data (activity and/or emission factors) in Key Category sectors; a high-burden, </w:t>
      </w:r>
      <w:r w:rsidRPr="0023222D">
        <w:rPr>
          <w:i/>
          <w:sz w:val="22"/>
          <w:szCs w:val="22"/>
        </w:rPr>
        <w:t>ad hoc</w:t>
      </w:r>
      <w:r>
        <w:rPr>
          <w:sz w:val="22"/>
          <w:szCs w:val="22"/>
        </w:rPr>
        <w:t xml:space="preserve"> and not fully inclusive process by which the inventory is periodically updated; limited institutional capacities to process data in order to generate accurate GHG estimates; and an online Climate Change Information Centre that does not currently fulfil its potential for data archiving. </w:t>
      </w:r>
    </w:p>
    <w:p w14:paraId="36F88602" w14:textId="7739B924" w:rsidR="00941C1F" w:rsidRDefault="00941C1F" w:rsidP="00737402">
      <w:pPr>
        <w:ind w:left="-426"/>
        <w:jc w:val="both"/>
        <w:rPr>
          <w:sz w:val="22"/>
          <w:szCs w:val="22"/>
        </w:rPr>
      </w:pPr>
    </w:p>
    <w:p w14:paraId="7C807FAD" w14:textId="54253214" w:rsidR="00941C1F" w:rsidRDefault="00941C1F" w:rsidP="00737402">
      <w:pPr>
        <w:ind w:left="-426"/>
        <w:jc w:val="both"/>
        <w:rPr>
          <w:rFonts w:cs="Calibri"/>
          <w:sz w:val="22"/>
          <w:szCs w:val="22"/>
        </w:rPr>
      </w:pPr>
      <w:r>
        <w:rPr>
          <w:rFonts w:cs="Calibri"/>
          <w:sz w:val="22"/>
          <w:szCs w:val="22"/>
        </w:rPr>
        <w:t>Capacities vary widely between institutions, with the result that data quantity, data quality and the degree of data processing also vary widely. In many cases, sectoral/sub-sectoral data submissions to the Climate Change Division (the entity responsible for coordinating the national GHG inventory process) are incomplete, in the wrong format or ‘raw’, requiring considerable follow-up work by CCD prior to entering the data into the inventory.</w:t>
      </w:r>
    </w:p>
    <w:p w14:paraId="31FEF9D1" w14:textId="1DC28485" w:rsidR="00941C1F" w:rsidRDefault="00941C1F" w:rsidP="00737402">
      <w:pPr>
        <w:ind w:left="-426"/>
        <w:jc w:val="both"/>
        <w:rPr>
          <w:rFonts w:cs="Calibri"/>
          <w:sz w:val="22"/>
          <w:szCs w:val="22"/>
        </w:rPr>
      </w:pPr>
    </w:p>
    <w:p w14:paraId="4A62A1A1" w14:textId="44DF89FC" w:rsidR="00941C1F" w:rsidRDefault="00941C1F" w:rsidP="00737402">
      <w:pPr>
        <w:ind w:left="-426"/>
        <w:jc w:val="both"/>
        <w:rPr>
          <w:sz w:val="22"/>
          <w:szCs w:val="22"/>
        </w:rPr>
      </w:pPr>
      <w:r>
        <w:rPr>
          <w:sz w:val="22"/>
          <w:szCs w:val="22"/>
        </w:rPr>
        <w:t>The result is an increasingly stressed MRV system that is struggling, and will continue to struggle, in the face of growing demands, notably the increasing frequency of reporting (BURs) and the growing need for GHG data to inform national policies and to track NDC progress.</w:t>
      </w:r>
    </w:p>
    <w:p w14:paraId="55E26904" w14:textId="77777777" w:rsidR="00737402" w:rsidRDefault="00737402" w:rsidP="00737402">
      <w:pPr>
        <w:ind w:left="-426"/>
        <w:jc w:val="both"/>
        <w:rPr>
          <w:sz w:val="22"/>
          <w:szCs w:val="22"/>
        </w:rPr>
      </w:pPr>
    </w:p>
    <w:p w14:paraId="69E3A52D" w14:textId="77777777" w:rsidR="00737402" w:rsidRDefault="00737402" w:rsidP="00737402">
      <w:pPr>
        <w:ind w:left="-426"/>
        <w:jc w:val="both"/>
        <w:rPr>
          <w:sz w:val="22"/>
          <w:szCs w:val="22"/>
        </w:rPr>
      </w:pPr>
      <w:r>
        <w:rPr>
          <w:sz w:val="22"/>
          <w:szCs w:val="22"/>
        </w:rPr>
        <w:t xml:space="preserve">(iv) </w:t>
      </w:r>
      <w:r w:rsidRPr="0023222D">
        <w:rPr>
          <w:sz w:val="22"/>
          <w:szCs w:val="22"/>
          <w:u w:val="single"/>
        </w:rPr>
        <w:t>Baseline projects</w:t>
      </w:r>
    </w:p>
    <w:p w14:paraId="5D44B0AC" w14:textId="77777777" w:rsidR="00737402" w:rsidRDefault="00737402" w:rsidP="00737402">
      <w:pPr>
        <w:ind w:left="-426"/>
        <w:jc w:val="both"/>
        <w:rPr>
          <w:sz w:val="22"/>
          <w:szCs w:val="22"/>
        </w:rPr>
      </w:pPr>
    </w:p>
    <w:p w14:paraId="2F3AA3F5" w14:textId="77777777" w:rsidR="00737402" w:rsidRDefault="00737402" w:rsidP="00737402">
      <w:pPr>
        <w:ind w:left="-426"/>
        <w:jc w:val="both"/>
        <w:rPr>
          <w:sz w:val="22"/>
          <w:szCs w:val="22"/>
        </w:rPr>
      </w:pPr>
      <w:r>
        <w:rPr>
          <w:sz w:val="22"/>
          <w:szCs w:val="22"/>
        </w:rPr>
        <w:t xml:space="preserve">Table 2 provides an overview of relevant baseline projects. Together, these projects seek to address a number of the barriers described above. They present an opportunity for the </w:t>
      </w:r>
      <w:r w:rsidR="00114D4F">
        <w:rPr>
          <w:sz w:val="22"/>
          <w:szCs w:val="22"/>
        </w:rPr>
        <w:t>GEF</w:t>
      </w:r>
      <w:r>
        <w:rPr>
          <w:sz w:val="22"/>
          <w:szCs w:val="22"/>
        </w:rPr>
        <w:t xml:space="preserve"> project to target its efforts in order to, at a minimum, avoid duplication and overlap but, more strategically, to build on and link with other initiatives so as to maximise </w:t>
      </w:r>
      <w:r w:rsidR="00114D4F">
        <w:rPr>
          <w:sz w:val="22"/>
          <w:szCs w:val="22"/>
        </w:rPr>
        <w:t>GEF</w:t>
      </w:r>
      <w:r>
        <w:rPr>
          <w:sz w:val="22"/>
          <w:szCs w:val="22"/>
        </w:rPr>
        <w:t xml:space="preserve"> impacts.</w:t>
      </w:r>
    </w:p>
    <w:p w14:paraId="77B0AFF0" w14:textId="77777777" w:rsidR="00737402" w:rsidRDefault="00737402" w:rsidP="00737402">
      <w:pPr>
        <w:ind w:left="-426"/>
        <w:jc w:val="both"/>
        <w:rPr>
          <w:sz w:val="22"/>
          <w:szCs w:val="22"/>
        </w:rPr>
      </w:pPr>
    </w:p>
    <w:p w14:paraId="505A8465" w14:textId="77777777" w:rsidR="00737402" w:rsidRDefault="00737402" w:rsidP="00737402">
      <w:pPr>
        <w:ind w:left="-426"/>
        <w:jc w:val="both"/>
        <w:rPr>
          <w:sz w:val="22"/>
          <w:szCs w:val="22"/>
        </w:rPr>
      </w:pPr>
      <w:r>
        <w:rPr>
          <w:sz w:val="22"/>
          <w:szCs w:val="22"/>
        </w:rPr>
        <w:t xml:space="preserve">The BUR-1 project is, for example, developing a number of crop-based emission factors and an ICI-funded project is quantifying wastewater GHG emissions in large hotels (which operate their own wastewater treatment plants and were not fully captured in the last GHG inventory): these are valuable activities that the </w:t>
      </w:r>
      <w:r w:rsidR="00114D4F">
        <w:rPr>
          <w:sz w:val="22"/>
          <w:szCs w:val="22"/>
        </w:rPr>
        <w:t>GEF</w:t>
      </w:r>
      <w:r>
        <w:rPr>
          <w:sz w:val="22"/>
          <w:szCs w:val="22"/>
        </w:rPr>
        <w:t xml:space="preserve"> project need not undertake. Meanwhile, a UNDP-GEF SLM project is undertaking a detailed forest mapping exercise that will address the need for more comprehensive forest activity data (land area and tree-types); the </w:t>
      </w:r>
      <w:r w:rsidR="00114D4F">
        <w:rPr>
          <w:sz w:val="22"/>
          <w:szCs w:val="22"/>
        </w:rPr>
        <w:t xml:space="preserve">GEF </w:t>
      </w:r>
      <w:r>
        <w:rPr>
          <w:sz w:val="22"/>
          <w:szCs w:val="22"/>
        </w:rPr>
        <w:t xml:space="preserve">project can usefully complement this work by supporting the development of locally-calibrated </w:t>
      </w:r>
      <w:r w:rsidRPr="00737402">
        <w:rPr>
          <w:rFonts w:cs="Calibri"/>
          <w:sz w:val="22"/>
          <w:szCs w:val="22"/>
        </w:rPr>
        <w:t xml:space="preserve">carbon estimation factors that, together with the activity data, will allow the national GHG inventory to adopt Tier 2 estimation approaches in the Forestry sub-sector. Similarly, the </w:t>
      </w:r>
      <w:r w:rsidR="00114D4F">
        <w:rPr>
          <w:rFonts w:cs="Calibri"/>
          <w:sz w:val="22"/>
          <w:szCs w:val="22"/>
        </w:rPr>
        <w:t>GEF</w:t>
      </w:r>
      <w:r w:rsidRPr="00737402">
        <w:rPr>
          <w:rFonts w:cs="Calibri"/>
          <w:sz w:val="22"/>
          <w:szCs w:val="22"/>
        </w:rPr>
        <w:t xml:space="preserve"> project can work with the new Mauritius Renewable Energy Agency (MARENA), created in 2016 with a mandate to promote renewable energy and currently receiving set-up and technical assistance from a UNDP-GCF project, to develop a real-time grid emission factor system that can more accurately quantify GHG emissions from the Energy Industries sub-sector (and from the increasingly-electrified Transport sub-sector) as well as inform MARENA’s target-setting/tracking work. A </w:t>
      </w:r>
      <w:bookmarkStart w:id="30" w:name="OLE_LINK3"/>
      <w:bookmarkStart w:id="31" w:name="OLE_LINK4"/>
      <w:r w:rsidRPr="00737402">
        <w:rPr>
          <w:rFonts w:cs="Calibri"/>
          <w:sz w:val="22"/>
          <w:szCs w:val="22"/>
        </w:rPr>
        <w:t xml:space="preserve">UNEP-GEF NAMAs project will establish an MRV system for the Energy Industries sub-sector, facilitating collection of data relating to MWh </w:t>
      </w:r>
      <w:r w:rsidRPr="00737402">
        <w:rPr>
          <w:rFonts w:cs="Calibri"/>
          <w:sz w:val="22"/>
          <w:szCs w:val="22"/>
        </w:rPr>
        <w:lastRenderedPageBreak/>
        <w:t>generated by different power plants</w:t>
      </w:r>
      <w:bookmarkEnd w:id="30"/>
      <w:bookmarkEnd w:id="31"/>
      <w:r w:rsidRPr="00737402">
        <w:rPr>
          <w:rFonts w:cs="Calibri"/>
          <w:sz w:val="22"/>
          <w:szCs w:val="22"/>
        </w:rPr>
        <w:t xml:space="preserve">; the </w:t>
      </w:r>
      <w:r w:rsidR="00114D4F">
        <w:rPr>
          <w:rFonts w:cs="Calibri"/>
          <w:sz w:val="22"/>
          <w:szCs w:val="22"/>
        </w:rPr>
        <w:t>GEF</w:t>
      </w:r>
      <w:r w:rsidRPr="00737402">
        <w:rPr>
          <w:rFonts w:cs="Calibri"/>
          <w:sz w:val="22"/>
          <w:szCs w:val="22"/>
        </w:rPr>
        <w:t xml:space="preserve"> project can complement this activity-oriented MRV system with the development of Tier 3 emission factors.</w:t>
      </w:r>
    </w:p>
    <w:p w14:paraId="3B95FA6C" w14:textId="77777777" w:rsidR="00737402" w:rsidRDefault="00737402" w:rsidP="00737402">
      <w:pPr>
        <w:ind w:left="-426"/>
        <w:jc w:val="both"/>
        <w:rPr>
          <w:sz w:val="22"/>
          <w:szCs w:val="22"/>
        </w:rPr>
      </w:pPr>
    </w:p>
    <w:p w14:paraId="03B4D203" w14:textId="77777777" w:rsidR="00737402" w:rsidRPr="005A0902" w:rsidRDefault="00737402" w:rsidP="00737402">
      <w:pPr>
        <w:ind w:left="-426"/>
        <w:jc w:val="both"/>
        <w:rPr>
          <w:sz w:val="22"/>
          <w:szCs w:val="22"/>
          <w:u w:val="single"/>
        </w:rPr>
      </w:pPr>
      <w:r w:rsidRPr="005A0902">
        <w:rPr>
          <w:sz w:val="22"/>
          <w:szCs w:val="22"/>
          <w:u w:val="single"/>
        </w:rPr>
        <w:t>Table 2: Baseline Projects and Initiatives</w:t>
      </w:r>
    </w:p>
    <w:p w14:paraId="4AE96939" w14:textId="77777777" w:rsidR="00737402" w:rsidRDefault="00737402" w:rsidP="00737402">
      <w:pPr>
        <w:ind w:left="-426"/>
        <w:jc w:val="both"/>
        <w:rPr>
          <w:sz w:val="22"/>
          <w:szCs w:val="22"/>
        </w:rPr>
      </w:pPr>
    </w:p>
    <w:tbl>
      <w:tblPr>
        <w:tblStyle w:val="TableGrid"/>
        <w:tblW w:w="9640" w:type="dxa"/>
        <w:tblInd w:w="-289" w:type="dxa"/>
        <w:tblLook w:val="04A0" w:firstRow="1" w:lastRow="0" w:firstColumn="1" w:lastColumn="0" w:noHBand="0" w:noVBand="1"/>
      </w:tblPr>
      <w:tblGrid>
        <w:gridCol w:w="2127"/>
        <w:gridCol w:w="822"/>
        <w:gridCol w:w="1689"/>
        <w:gridCol w:w="5002"/>
      </w:tblGrid>
      <w:tr w:rsidR="00737402" w:rsidRPr="005200C7" w14:paraId="30D27474" w14:textId="77777777" w:rsidTr="00737402">
        <w:tc>
          <w:tcPr>
            <w:tcW w:w="2127" w:type="dxa"/>
            <w:shd w:val="clear" w:color="auto" w:fill="D9D9D9"/>
            <w:vAlign w:val="center"/>
          </w:tcPr>
          <w:p w14:paraId="77768905" w14:textId="77777777" w:rsidR="00737402" w:rsidRPr="005200C7" w:rsidRDefault="00737402" w:rsidP="00194211">
            <w:pPr>
              <w:jc w:val="center"/>
              <w:rPr>
                <w:b/>
                <w:sz w:val="18"/>
                <w:szCs w:val="18"/>
              </w:rPr>
            </w:pPr>
            <w:r w:rsidRPr="005200C7">
              <w:rPr>
                <w:b/>
                <w:sz w:val="18"/>
                <w:szCs w:val="18"/>
              </w:rPr>
              <w:t>Initiative</w:t>
            </w:r>
          </w:p>
        </w:tc>
        <w:tc>
          <w:tcPr>
            <w:tcW w:w="822" w:type="dxa"/>
            <w:shd w:val="clear" w:color="auto" w:fill="D9D9D9"/>
            <w:vAlign w:val="center"/>
          </w:tcPr>
          <w:p w14:paraId="19737270" w14:textId="77777777" w:rsidR="00737402" w:rsidRPr="005200C7" w:rsidRDefault="00737402" w:rsidP="00194211">
            <w:pPr>
              <w:jc w:val="center"/>
              <w:rPr>
                <w:b/>
                <w:sz w:val="18"/>
                <w:szCs w:val="18"/>
              </w:rPr>
            </w:pPr>
            <w:r w:rsidRPr="005200C7">
              <w:rPr>
                <w:b/>
                <w:sz w:val="18"/>
                <w:szCs w:val="18"/>
              </w:rPr>
              <w:t>Time Period</w:t>
            </w:r>
          </w:p>
        </w:tc>
        <w:tc>
          <w:tcPr>
            <w:tcW w:w="1689" w:type="dxa"/>
            <w:shd w:val="clear" w:color="auto" w:fill="D9D9D9"/>
            <w:vAlign w:val="center"/>
          </w:tcPr>
          <w:p w14:paraId="7CFA02A2" w14:textId="77777777" w:rsidR="00737402" w:rsidRPr="005200C7" w:rsidRDefault="00737402" w:rsidP="00194211">
            <w:pPr>
              <w:jc w:val="center"/>
              <w:rPr>
                <w:b/>
                <w:sz w:val="18"/>
                <w:szCs w:val="18"/>
              </w:rPr>
            </w:pPr>
            <w:r w:rsidRPr="005200C7">
              <w:rPr>
                <w:b/>
                <w:sz w:val="18"/>
                <w:szCs w:val="18"/>
              </w:rPr>
              <w:t>Budget</w:t>
            </w:r>
          </w:p>
        </w:tc>
        <w:tc>
          <w:tcPr>
            <w:tcW w:w="5002" w:type="dxa"/>
            <w:shd w:val="clear" w:color="auto" w:fill="D9D9D9"/>
            <w:vAlign w:val="center"/>
          </w:tcPr>
          <w:p w14:paraId="1E43F9CA" w14:textId="77777777" w:rsidR="00737402" w:rsidRPr="005200C7" w:rsidRDefault="00737402" w:rsidP="00194211">
            <w:pPr>
              <w:jc w:val="center"/>
              <w:rPr>
                <w:b/>
                <w:sz w:val="18"/>
                <w:szCs w:val="18"/>
              </w:rPr>
            </w:pPr>
            <w:r w:rsidRPr="005200C7">
              <w:rPr>
                <w:b/>
                <w:sz w:val="18"/>
                <w:szCs w:val="18"/>
              </w:rPr>
              <w:t>Activities</w:t>
            </w:r>
          </w:p>
        </w:tc>
      </w:tr>
      <w:tr w:rsidR="00737402" w:rsidRPr="005200C7" w14:paraId="3180A0FD" w14:textId="77777777" w:rsidTr="00737402">
        <w:tc>
          <w:tcPr>
            <w:tcW w:w="9640" w:type="dxa"/>
            <w:gridSpan w:val="4"/>
            <w:shd w:val="clear" w:color="auto" w:fill="D9D9D9"/>
            <w:vAlign w:val="center"/>
          </w:tcPr>
          <w:p w14:paraId="14CA5737" w14:textId="77777777" w:rsidR="00737402" w:rsidRPr="005200C7" w:rsidRDefault="00737402" w:rsidP="00194211">
            <w:pPr>
              <w:rPr>
                <w:bCs/>
                <w:i/>
                <w:sz w:val="18"/>
                <w:szCs w:val="18"/>
              </w:rPr>
            </w:pPr>
            <w:r w:rsidRPr="005200C7">
              <w:rPr>
                <w:bCs/>
                <w:i/>
                <w:sz w:val="18"/>
                <w:szCs w:val="18"/>
              </w:rPr>
              <w:t>Relevant to the national GHG inventory</w:t>
            </w:r>
          </w:p>
        </w:tc>
      </w:tr>
      <w:tr w:rsidR="00737402" w:rsidRPr="005200C7" w14:paraId="2D1D3982" w14:textId="77777777" w:rsidTr="00194211">
        <w:tc>
          <w:tcPr>
            <w:tcW w:w="2127" w:type="dxa"/>
            <w:vAlign w:val="center"/>
          </w:tcPr>
          <w:p w14:paraId="2EACD2BE" w14:textId="77777777" w:rsidR="00737402" w:rsidRPr="005200C7" w:rsidRDefault="00737402" w:rsidP="00194211">
            <w:pPr>
              <w:rPr>
                <w:sz w:val="18"/>
                <w:szCs w:val="18"/>
              </w:rPr>
            </w:pPr>
            <w:r w:rsidRPr="005200C7">
              <w:rPr>
                <w:sz w:val="18"/>
                <w:szCs w:val="18"/>
              </w:rPr>
              <w:t>Biennial Update Report (BUR-1)</w:t>
            </w:r>
          </w:p>
        </w:tc>
        <w:tc>
          <w:tcPr>
            <w:tcW w:w="822" w:type="dxa"/>
            <w:vAlign w:val="center"/>
          </w:tcPr>
          <w:p w14:paraId="371D8BC8" w14:textId="77777777" w:rsidR="00737402" w:rsidRPr="005200C7" w:rsidRDefault="00737402" w:rsidP="00194211">
            <w:pPr>
              <w:rPr>
                <w:sz w:val="18"/>
                <w:szCs w:val="18"/>
              </w:rPr>
            </w:pPr>
            <w:r w:rsidRPr="005200C7">
              <w:rPr>
                <w:sz w:val="18"/>
                <w:szCs w:val="18"/>
              </w:rPr>
              <w:t>2017-2019</w:t>
            </w:r>
          </w:p>
        </w:tc>
        <w:tc>
          <w:tcPr>
            <w:tcW w:w="1689" w:type="dxa"/>
            <w:vAlign w:val="center"/>
          </w:tcPr>
          <w:p w14:paraId="03883973" w14:textId="4F15B8A0" w:rsidR="00737402" w:rsidRPr="005200C7" w:rsidRDefault="00737402" w:rsidP="00194211">
            <w:pPr>
              <w:rPr>
                <w:sz w:val="18"/>
                <w:szCs w:val="18"/>
              </w:rPr>
            </w:pPr>
            <w:r w:rsidRPr="005200C7">
              <w:rPr>
                <w:sz w:val="18"/>
                <w:szCs w:val="18"/>
              </w:rPr>
              <w:t xml:space="preserve">USD </w:t>
            </w:r>
            <w:r w:rsidR="00A3079B" w:rsidRPr="005200C7">
              <w:rPr>
                <w:sz w:val="18"/>
                <w:szCs w:val="18"/>
              </w:rPr>
              <w:t>3</w:t>
            </w:r>
            <w:r w:rsidR="00A3079B">
              <w:rPr>
                <w:sz w:val="18"/>
                <w:szCs w:val="18"/>
              </w:rPr>
              <w:t>5</w:t>
            </w:r>
            <w:r w:rsidR="00A3079B" w:rsidRPr="005200C7">
              <w:rPr>
                <w:sz w:val="18"/>
                <w:szCs w:val="18"/>
              </w:rPr>
              <w:t>2</w:t>
            </w:r>
            <w:r w:rsidRPr="005200C7">
              <w:rPr>
                <w:sz w:val="18"/>
                <w:szCs w:val="18"/>
              </w:rPr>
              <w:t xml:space="preserve">,000 </w:t>
            </w:r>
          </w:p>
          <w:p w14:paraId="1C109053" w14:textId="77777777" w:rsidR="00737402" w:rsidRPr="005200C7" w:rsidRDefault="00737402" w:rsidP="00194211">
            <w:pPr>
              <w:rPr>
                <w:sz w:val="18"/>
                <w:szCs w:val="18"/>
              </w:rPr>
            </w:pPr>
          </w:p>
          <w:p w14:paraId="427D85B0" w14:textId="77777777" w:rsidR="00737402" w:rsidRPr="005200C7" w:rsidRDefault="00737402" w:rsidP="00194211">
            <w:pPr>
              <w:rPr>
                <w:sz w:val="18"/>
                <w:szCs w:val="18"/>
              </w:rPr>
            </w:pPr>
            <w:r w:rsidRPr="005200C7">
              <w:rPr>
                <w:sz w:val="18"/>
                <w:szCs w:val="18"/>
              </w:rPr>
              <w:t>(GEF-financed, UN Environment-implemented)</w:t>
            </w:r>
          </w:p>
        </w:tc>
        <w:tc>
          <w:tcPr>
            <w:tcW w:w="5002" w:type="dxa"/>
            <w:vAlign w:val="center"/>
          </w:tcPr>
          <w:p w14:paraId="647E79FE" w14:textId="77777777" w:rsidR="00737402" w:rsidRPr="00982B0E" w:rsidRDefault="00737402" w:rsidP="00982B0E">
            <w:pPr>
              <w:pStyle w:val="ListParagraph"/>
              <w:rPr>
                <w:sz w:val="18"/>
                <w:szCs w:val="18"/>
                <w:u w:val="none"/>
              </w:rPr>
            </w:pPr>
            <w:r w:rsidRPr="00982B0E">
              <w:rPr>
                <w:sz w:val="18"/>
                <w:szCs w:val="18"/>
                <w:u w:val="none"/>
              </w:rPr>
              <w:t>Update national GHG inventory for 2014-15 and revision of 2000-13 inventories</w:t>
            </w:r>
          </w:p>
          <w:p w14:paraId="631AE2EF" w14:textId="77777777" w:rsidR="00737402" w:rsidRPr="00982B0E" w:rsidRDefault="00737402" w:rsidP="00982B0E">
            <w:pPr>
              <w:pStyle w:val="ListParagraph"/>
              <w:rPr>
                <w:sz w:val="18"/>
                <w:szCs w:val="18"/>
                <w:u w:val="none"/>
              </w:rPr>
            </w:pPr>
            <w:r w:rsidRPr="00982B0E">
              <w:rPr>
                <w:sz w:val="18"/>
                <w:szCs w:val="18"/>
                <w:u w:val="none"/>
              </w:rPr>
              <w:t>Development of selected Tier 2 emission factors (agriculture)</w:t>
            </w:r>
          </w:p>
          <w:p w14:paraId="1980C69D" w14:textId="77777777" w:rsidR="00737402" w:rsidRPr="00982B0E" w:rsidRDefault="00737402" w:rsidP="00982B0E">
            <w:pPr>
              <w:pStyle w:val="ListParagraph"/>
              <w:rPr>
                <w:sz w:val="18"/>
                <w:szCs w:val="18"/>
                <w:u w:val="none"/>
              </w:rPr>
            </w:pPr>
            <w:r w:rsidRPr="00982B0E">
              <w:rPr>
                <w:sz w:val="18"/>
                <w:szCs w:val="18"/>
                <w:u w:val="none"/>
              </w:rPr>
              <w:t>Capacity building on IPCC 2006 methodologies and geospatial analysis</w:t>
            </w:r>
          </w:p>
          <w:p w14:paraId="7C503C10" w14:textId="77777777" w:rsidR="00737402" w:rsidRPr="00982B0E" w:rsidRDefault="00737402" w:rsidP="00982B0E">
            <w:pPr>
              <w:pStyle w:val="ListParagraph"/>
              <w:rPr>
                <w:sz w:val="18"/>
                <w:szCs w:val="18"/>
                <w:u w:val="none"/>
              </w:rPr>
            </w:pPr>
            <w:r w:rsidRPr="00982B0E">
              <w:rPr>
                <w:sz w:val="18"/>
                <w:szCs w:val="18"/>
                <w:u w:val="none"/>
              </w:rPr>
              <w:t>Domestic MRV systems (sectoral)</w:t>
            </w:r>
          </w:p>
        </w:tc>
      </w:tr>
      <w:tr w:rsidR="00737402" w:rsidRPr="005200C7" w14:paraId="35C3362D" w14:textId="77777777" w:rsidTr="00194211">
        <w:tc>
          <w:tcPr>
            <w:tcW w:w="2127" w:type="dxa"/>
            <w:vAlign w:val="center"/>
          </w:tcPr>
          <w:p w14:paraId="55340844" w14:textId="77777777" w:rsidR="00737402" w:rsidRPr="005200C7" w:rsidRDefault="00737402" w:rsidP="00194211">
            <w:pPr>
              <w:rPr>
                <w:sz w:val="18"/>
                <w:szCs w:val="18"/>
              </w:rPr>
            </w:pPr>
            <w:r w:rsidRPr="005200C7">
              <w:rPr>
                <w:sz w:val="18"/>
                <w:szCs w:val="18"/>
              </w:rPr>
              <w:t>Review and update of the NDC (NDC-2)</w:t>
            </w:r>
          </w:p>
        </w:tc>
        <w:tc>
          <w:tcPr>
            <w:tcW w:w="822" w:type="dxa"/>
            <w:vAlign w:val="center"/>
          </w:tcPr>
          <w:p w14:paraId="482E02F4" w14:textId="77777777" w:rsidR="00737402" w:rsidRPr="005200C7" w:rsidRDefault="00737402" w:rsidP="00194211">
            <w:pPr>
              <w:rPr>
                <w:sz w:val="18"/>
                <w:szCs w:val="18"/>
              </w:rPr>
            </w:pPr>
            <w:r w:rsidRPr="005200C7">
              <w:rPr>
                <w:sz w:val="18"/>
                <w:szCs w:val="18"/>
              </w:rPr>
              <w:t>2019-2020</w:t>
            </w:r>
          </w:p>
        </w:tc>
        <w:tc>
          <w:tcPr>
            <w:tcW w:w="1689" w:type="dxa"/>
            <w:vAlign w:val="center"/>
          </w:tcPr>
          <w:p w14:paraId="283413D9" w14:textId="77777777" w:rsidR="00737402" w:rsidRPr="005200C7" w:rsidRDefault="00737402" w:rsidP="00194211">
            <w:pPr>
              <w:rPr>
                <w:sz w:val="18"/>
                <w:szCs w:val="18"/>
              </w:rPr>
            </w:pPr>
            <w:r w:rsidRPr="005200C7">
              <w:rPr>
                <w:sz w:val="18"/>
                <w:szCs w:val="18"/>
              </w:rPr>
              <w:t>Euro 164,000</w:t>
            </w:r>
          </w:p>
          <w:p w14:paraId="70EA3110" w14:textId="77777777" w:rsidR="00737402" w:rsidRPr="005200C7" w:rsidRDefault="00737402" w:rsidP="00194211">
            <w:pPr>
              <w:rPr>
                <w:sz w:val="18"/>
                <w:szCs w:val="18"/>
              </w:rPr>
            </w:pPr>
          </w:p>
          <w:p w14:paraId="63692CB8" w14:textId="77777777" w:rsidR="00737402" w:rsidRPr="005200C7" w:rsidRDefault="00737402" w:rsidP="00194211">
            <w:pPr>
              <w:rPr>
                <w:sz w:val="18"/>
                <w:szCs w:val="18"/>
              </w:rPr>
            </w:pPr>
            <w:r w:rsidRPr="005200C7">
              <w:rPr>
                <w:sz w:val="18"/>
                <w:szCs w:val="18"/>
              </w:rPr>
              <w:t>(Government of France)</w:t>
            </w:r>
          </w:p>
        </w:tc>
        <w:tc>
          <w:tcPr>
            <w:tcW w:w="5002" w:type="dxa"/>
            <w:vAlign w:val="center"/>
          </w:tcPr>
          <w:p w14:paraId="54E57D10" w14:textId="77777777" w:rsidR="00737402" w:rsidRPr="00982B0E" w:rsidRDefault="00737402" w:rsidP="00982B0E">
            <w:pPr>
              <w:pStyle w:val="ListParagraph"/>
              <w:rPr>
                <w:sz w:val="18"/>
                <w:szCs w:val="18"/>
                <w:u w:val="none"/>
              </w:rPr>
            </w:pPr>
            <w:r w:rsidRPr="00982B0E">
              <w:rPr>
                <w:sz w:val="18"/>
                <w:szCs w:val="18"/>
                <w:u w:val="none"/>
              </w:rPr>
              <w:t>Update NDC target</w:t>
            </w:r>
          </w:p>
          <w:p w14:paraId="02FBB013" w14:textId="77777777" w:rsidR="00737402" w:rsidRPr="00982B0E" w:rsidRDefault="00737402" w:rsidP="00982B0E">
            <w:pPr>
              <w:pStyle w:val="ListParagraph"/>
              <w:rPr>
                <w:sz w:val="18"/>
                <w:szCs w:val="18"/>
                <w:u w:val="none"/>
              </w:rPr>
            </w:pPr>
            <w:r w:rsidRPr="00982B0E">
              <w:rPr>
                <w:sz w:val="18"/>
                <w:szCs w:val="18"/>
                <w:u w:val="none"/>
              </w:rPr>
              <w:t>Development of a domestic MRV system</w:t>
            </w:r>
          </w:p>
          <w:p w14:paraId="0C9E738A" w14:textId="77777777" w:rsidR="00737402" w:rsidRPr="00982B0E" w:rsidRDefault="00737402" w:rsidP="00982B0E">
            <w:pPr>
              <w:pStyle w:val="ListParagraph"/>
              <w:rPr>
                <w:sz w:val="18"/>
                <w:szCs w:val="18"/>
                <w:u w:val="none"/>
              </w:rPr>
            </w:pPr>
            <w:r w:rsidRPr="00982B0E">
              <w:rPr>
                <w:sz w:val="18"/>
                <w:szCs w:val="18"/>
                <w:u w:val="none"/>
              </w:rPr>
              <w:t xml:space="preserve">Mechanism for assessing the carbon footprint of implemented measures </w:t>
            </w:r>
          </w:p>
        </w:tc>
      </w:tr>
      <w:tr w:rsidR="00D17A22" w:rsidRPr="005200C7" w14:paraId="2F20BB06" w14:textId="77777777" w:rsidTr="00194211">
        <w:tc>
          <w:tcPr>
            <w:tcW w:w="2127" w:type="dxa"/>
            <w:vAlign w:val="center"/>
          </w:tcPr>
          <w:p w14:paraId="1D0219EF" w14:textId="77777777" w:rsidR="00D17A22" w:rsidRPr="005200C7" w:rsidRDefault="00D17A22" w:rsidP="00194211">
            <w:pPr>
              <w:rPr>
                <w:sz w:val="18"/>
                <w:szCs w:val="18"/>
              </w:rPr>
            </w:pPr>
            <w:r w:rsidRPr="005200C7">
              <w:rPr>
                <w:sz w:val="18"/>
                <w:szCs w:val="18"/>
              </w:rPr>
              <w:t>NAMAs for low-carbon island development strategy</w:t>
            </w:r>
          </w:p>
        </w:tc>
        <w:tc>
          <w:tcPr>
            <w:tcW w:w="822" w:type="dxa"/>
            <w:vAlign w:val="center"/>
          </w:tcPr>
          <w:p w14:paraId="74A995DA" w14:textId="0F58B3C0" w:rsidR="00D17A22" w:rsidRPr="005200C7" w:rsidRDefault="00D17A22" w:rsidP="00194211">
            <w:pPr>
              <w:rPr>
                <w:sz w:val="18"/>
                <w:szCs w:val="18"/>
              </w:rPr>
            </w:pPr>
            <w:r w:rsidRPr="005200C7">
              <w:rPr>
                <w:sz w:val="18"/>
                <w:szCs w:val="18"/>
              </w:rPr>
              <w:t>201</w:t>
            </w:r>
            <w:r>
              <w:rPr>
                <w:sz w:val="18"/>
                <w:szCs w:val="18"/>
              </w:rPr>
              <w:t>7</w:t>
            </w:r>
            <w:r w:rsidRPr="005200C7">
              <w:rPr>
                <w:sz w:val="18"/>
                <w:szCs w:val="18"/>
              </w:rPr>
              <w:t>-202</w:t>
            </w:r>
            <w:r>
              <w:rPr>
                <w:sz w:val="18"/>
                <w:szCs w:val="18"/>
              </w:rPr>
              <w:t>1</w:t>
            </w:r>
          </w:p>
        </w:tc>
        <w:tc>
          <w:tcPr>
            <w:tcW w:w="1689" w:type="dxa"/>
            <w:vAlign w:val="center"/>
          </w:tcPr>
          <w:p w14:paraId="2417ACA7" w14:textId="38831040" w:rsidR="004F06F4" w:rsidRDefault="00D17A22" w:rsidP="00194211">
            <w:pPr>
              <w:rPr>
                <w:sz w:val="18"/>
                <w:szCs w:val="18"/>
                <w:lang w:val="fr-FR"/>
              </w:rPr>
            </w:pPr>
            <w:r w:rsidRPr="005200C7">
              <w:rPr>
                <w:sz w:val="18"/>
                <w:szCs w:val="18"/>
              </w:rPr>
              <w:t>USD 1.</w:t>
            </w:r>
            <w:r>
              <w:rPr>
                <w:sz w:val="18"/>
                <w:szCs w:val="18"/>
              </w:rPr>
              <w:t>6</w:t>
            </w:r>
            <w:r w:rsidRPr="005200C7">
              <w:rPr>
                <w:sz w:val="18"/>
                <w:szCs w:val="18"/>
              </w:rPr>
              <w:t xml:space="preserve"> million</w:t>
            </w:r>
          </w:p>
          <w:p w14:paraId="39A3D0B2" w14:textId="77777777" w:rsidR="004F06F4" w:rsidRDefault="004F06F4" w:rsidP="00194211">
            <w:pPr>
              <w:rPr>
                <w:sz w:val="18"/>
                <w:szCs w:val="18"/>
                <w:lang w:val="fr-FR"/>
              </w:rPr>
            </w:pPr>
          </w:p>
          <w:p w14:paraId="7C01F8C6" w14:textId="1A9C0400" w:rsidR="00D17A22" w:rsidRPr="00676A2D" w:rsidRDefault="004F06F4" w:rsidP="00194211">
            <w:pPr>
              <w:rPr>
                <w:sz w:val="18"/>
                <w:szCs w:val="18"/>
                <w:lang w:val="fr-FR"/>
              </w:rPr>
            </w:pPr>
            <w:r>
              <w:rPr>
                <w:sz w:val="18"/>
                <w:szCs w:val="18"/>
                <w:lang w:val="fr-FR"/>
              </w:rPr>
              <w:t>(</w:t>
            </w:r>
            <w:r w:rsidR="00D17A22" w:rsidRPr="00676A2D">
              <w:rPr>
                <w:sz w:val="18"/>
                <w:szCs w:val="18"/>
                <w:lang w:val="fr-FR"/>
              </w:rPr>
              <w:t>GEF-financed, UN Environment-implemented)</w:t>
            </w:r>
          </w:p>
        </w:tc>
        <w:tc>
          <w:tcPr>
            <w:tcW w:w="5002" w:type="dxa"/>
            <w:vAlign w:val="center"/>
          </w:tcPr>
          <w:p w14:paraId="0F6B25FF" w14:textId="620EB5FD" w:rsidR="00D17A22" w:rsidRPr="00D77F75" w:rsidRDefault="004F06F4" w:rsidP="00ED03BE">
            <w:pPr>
              <w:pStyle w:val="ListParagraph"/>
              <w:rPr>
                <w:sz w:val="18"/>
                <w:szCs w:val="18"/>
                <w:u w:val="none"/>
              </w:rPr>
            </w:pPr>
            <w:r w:rsidRPr="00D77F75">
              <w:rPr>
                <w:sz w:val="18"/>
                <w:szCs w:val="18"/>
                <w:u w:val="none"/>
              </w:rPr>
              <w:t>S</w:t>
            </w:r>
            <w:r w:rsidR="00D17A22" w:rsidRPr="00D77F75">
              <w:rPr>
                <w:sz w:val="18"/>
                <w:szCs w:val="18"/>
                <w:u w:val="none"/>
              </w:rPr>
              <w:t>trengthened  national capability to identify, prioriti</w:t>
            </w:r>
            <w:r w:rsidR="0061125B" w:rsidRPr="00D77F75">
              <w:rPr>
                <w:sz w:val="18"/>
                <w:szCs w:val="18"/>
                <w:u w:val="none"/>
              </w:rPr>
              <w:t>s</w:t>
            </w:r>
            <w:r w:rsidR="00D17A22" w:rsidRPr="00D77F75">
              <w:rPr>
                <w:sz w:val="18"/>
                <w:szCs w:val="18"/>
                <w:u w:val="none"/>
              </w:rPr>
              <w:t>e and develop mitigation actions to meet NDC targets</w:t>
            </w:r>
            <w:r w:rsidR="00D17A22" w:rsidRPr="00D77F75" w:rsidDel="00BE2737">
              <w:rPr>
                <w:sz w:val="18"/>
                <w:szCs w:val="18"/>
                <w:u w:val="none"/>
              </w:rPr>
              <w:t xml:space="preserve"> </w:t>
            </w:r>
          </w:p>
          <w:p w14:paraId="1C9D68FA" w14:textId="38F709E3" w:rsidR="00D17A22" w:rsidRPr="00D77F75" w:rsidRDefault="004F06F4" w:rsidP="00ED03BE">
            <w:pPr>
              <w:pStyle w:val="ListParagraph"/>
              <w:rPr>
                <w:sz w:val="18"/>
                <w:szCs w:val="18"/>
                <w:u w:val="none"/>
              </w:rPr>
            </w:pPr>
            <w:r w:rsidRPr="00D77F75">
              <w:rPr>
                <w:sz w:val="18"/>
                <w:szCs w:val="18"/>
                <w:u w:val="none"/>
              </w:rPr>
              <w:t>I</w:t>
            </w:r>
            <w:r w:rsidR="00D17A22" w:rsidRPr="00D77F75">
              <w:rPr>
                <w:sz w:val="18"/>
                <w:szCs w:val="18"/>
                <w:u w:val="none"/>
              </w:rPr>
              <w:t xml:space="preserve">nitiate implementation actions on </w:t>
            </w:r>
            <w:r w:rsidRPr="00D77F75">
              <w:rPr>
                <w:sz w:val="18"/>
                <w:szCs w:val="18"/>
                <w:u w:val="none"/>
              </w:rPr>
              <w:t>r</w:t>
            </w:r>
            <w:r w:rsidR="00D17A22" w:rsidRPr="00D77F75">
              <w:rPr>
                <w:sz w:val="18"/>
                <w:szCs w:val="18"/>
                <w:u w:val="none"/>
              </w:rPr>
              <w:t xml:space="preserve">enewable </w:t>
            </w:r>
            <w:r w:rsidRPr="00D77F75">
              <w:rPr>
                <w:sz w:val="18"/>
                <w:szCs w:val="18"/>
                <w:u w:val="none"/>
              </w:rPr>
              <w:t>e</w:t>
            </w:r>
            <w:r w:rsidR="00D17A22" w:rsidRPr="00D77F75">
              <w:rPr>
                <w:sz w:val="18"/>
                <w:szCs w:val="18"/>
                <w:u w:val="none"/>
              </w:rPr>
              <w:t>nergy targets</w:t>
            </w:r>
            <w:r w:rsidR="00D17A22" w:rsidRPr="00D77F75" w:rsidDel="00BE2737">
              <w:rPr>
                <w:sz w:val="18"/>
                <w:szCs w:val="18"/>
                <w:u w:val="none"/>
              </w:rPr>
              <w:t xml:space="preserve"> </w:t>
            </w:r>
          </w:p>
          <w:p w14:paraId="403AE99B" w14:textId="066E6F12" w:rsidR="00D17A22" w:rsidRPr="00982B0E" w:rsidRDefault="00D17A22" w:rsidP="00982B0E">
            <w:pPr>
              <w:pStyle w:val="ListParagraph"/>
              <w:rPr>
                <w:sz w:val="18"/>
                <w:szCs w:val="18"/>
                <w:u w:val="none"/>
              </w:rPr>
            </w:pPr>
            <w:r w:rsidRPr="00D77F75">
              <w:rPr>
                <w:sz w:val="18"/>
                <w:szCs w:val="18"/>
                <w:u w:val="none"/>
              </w:rPr>
              <w:t xml:space="preserve">MRV system for the electricity sector and to track NDC implementation for </w:t>
            </w:r>
            <w:r w:rsidR="004F06F4" w:rsidRPr="00D77F75">
              <w:rPr>
                <w:sz w:val="18"/>
                <w:szCs w:val="18"/>
                <w:u w:val="none"/>
              </w:rPr>
              <w:t>r</w:t>
            </w:r>
            <w:r w:rsidRPr="00D77F75">
              <w:rPr>
                <w:sz w:val="18"/>
                <w:szCs w:val="18"/>
                <w:u w:val="none"/>
              </w:rPr>
              <w:t xml:space="preserve">enewable </w:t>
            </w:r>
            <w:r w:rsidR="004F06F4" w:rsidRPr="00D77F75">
              <w:rPr>
                <w:sz w:val="18"/>
                <w:szCs w:val="18"/>
                <w:u w:val="none"/>
              </w:rPr>
              <w:t>e</w:t>
            </w:r>
            <w:r w:rsidRPr="00D77F75">
              <w:rPr>
                <w:sz w:val="18"/>
                <w:szCs w:val="18"/>
                <w:u w:val="none"/>
              </w:rPr>
              <w:t>nergy actions</w:t>
            </w:r>
          </w:p>
        </w:tc>
      </w:tr>
      <w:tr w:rsidR="00737402" w:rsidRPr="005200C7" w14:paraId="071FB646" w14:textId="77777777" w:rsidTr="00194211">
        <w:tc>
          <w:tcPr>
            <w:tcW w:w="2127" w:type="dxa"/>
            <w:vAlign w:val="center"/>
          </w:tcPr>
          <w:p w14:paraId="15B3953F" w14:textId="77777777" w:rsidR="00737402" w:rsidRPr="005200C7" w:rsidRDefault="00737402" w:rsidP="00194211">
            <w:pPr>
              <w:rPr>
                <w:sz w:val="18"/>
                <w:szCs w:val="18"/>
              </w:rPr>
            </w:pPr>
            <w:r w:rsidRPr="005200C7">
              <w:rPr>
                <w:sz w:val="18"/>
                <w:szCs w:val="18"/>
              </w:rPr>
              <w:t>Shared Environmental Information System (SEIS)</w:t>
            </w:r>
          </w:p>
        </w:tc>
        <w:tc>
          <w:tcPr>
            <w:tcW w:w="822" w:type="dxa"/>
            <w:vAlign w:val="center"/>
          </w:tcPr>
          <w:p w14:paraId="257150FA" w14:textId="77777777" w:rsidR="00737402" w:rsidRPr="005200C7" w:rsidRDefault="00737402" w:rsidP="00194211">
            <w:pPr>
              <w:rPr>
                <w:sz w:val="18"/>
                <w:szCs w:val="18"/>
              </w:rPr>
            </w:pPr>
            <w:r w:rsidRPr="005200C7">
              <w:rPr>
                <w:sz w:val="18"/>
                <w:szCs w:val="18"/>
              </w:rPr>
              <w:t>2017-2019</w:t>
            </w:r>
          </w:p>
        </w:tc>
        <w:tc>
          <w:tcPr>
            <w:tcW w:w="1689" w:type="dxa"/>
            <w:vAlign w:val="center"/>
          </w:tcPr>
          <w:p w14:paraId="073C5E6A" w14:textId="77777777" w:rsidR="00737402" w:rsidRPr="005200C7" w:rsidRDefault="00737402" w:rsidP="00194211">
            <w:pPr>
              <w:rPr>
                <w:sz w:val="18"/>
                <w:szCs w:val="18"/>
              </w:rPr>
            </w:pPr>
            <w:r w:rsidRPr="005200C7">
              <w:rPr>
                <w:sz w:val="18"/>
                <w:szCs w:val="18"/>
              </w:rPr>
              <w:t>USD 16,000</w:t>
            </w:r>
          </w:p>
          <w:p w14:paraId="31FEC8F3" w14:textId="77777777" w:rsidR="00737402" w:rsidRPr="005200C7" w:rsidRDefault="00737402" w:rsidP="00194211">
            <w:pPr>
              <w:rPr>
                <w:sz w:val="18"/>
                <w:szCs w:val="18"/>
              </w:rPr>
            </w:pPr>
          </w:p>
          <w:p w14:paraId="166FCDD9" w14:textId="77777777" w:rsidR="00737402" w:rsidRPr="005200C7" w:rsidRDefault="00737402" w:rsidP="00194211">
            <w:pPr>
              <w:rPr>
                <w:sz w:val="18"/>
                <w:szCs w:val="18"/>
              </w:rPr>
            </w:pPr>
            <w:r w:rsidRPr="005200C7">
              <w:rPr>
                <w:sz w:val="18"/>
                <w:szCs w:val="18"/>
              </w:rPr>
              <w:t>(UN Environment)</w:t>
            </w:r>
          </w:p>
        </w:tc>
        <w:tc>
          <w:tcPr>
            <w:tcW w:w="5002" w:type="dxa"/>
            <w:vAlign w:val="center"/>
          </w:tcPr>
          <w:p w14:paraId="5A38C0D1" w14:textId="77777777" w:rsidR="00737402" w:rsidRPr="00982B0E" w:rsidRDefault="00737402" w:rsidP="00982B0E">
            <w:pPr>
              <w:pStyle w:val="ListParagraph"/>
              <w:rPr>
                <w:sz w:val="18"/>
                <w:szCs w:val="18"/>
                <w:u w:val="none"/>
              </w:rPr>
            </w:pPr>
            <w:r w:rsidRPr="00982B0E">
              <w:rPr>
                <w:sz w:val="18"/>
                <w:szCs w:val="18"/>
                <w:u w:val="none"/>
              </w:rPr>
              <w:t>Development of an Indicator Reporting Information System (IRIS) to help the Ministry and Statistics Mauritius to collect, analyse and publish quality information in a timely manner</w:t>
            </w:r>
          </w:p>
          <w:p w14:paraId="4E49FA9A" w14:textId="77777777" w:rsidR="00737402" w:rsidRPr="00982B0E" w:rsidRDefault="00737402" w:rsidP="00982B0E">
            <w:pPr>
              <w:pStyle w:val="ListParagraph"/>
              <w:rPr>
                <w:sz w:val="18"/>
                <w:szCs w:val="18"/>
                <w:u w:val="none"/>
              </w:rPr>
            </w:pPr>
            <w:r w:rsidRPr="00982B0E">
              <w:rPr>
                <w:sz w:val="18"/>
                <w:szCs w:val="18"/>
                <w:u w:val="none"/>
              </w:rPr>
              <w:t>For reporting on MEAs, SDGs and integrated environmental assessment processes</w:t>
            </w:r>
          </w:p>
        </w:tc>
      </w:tr>
      <w:tr w:rsidR="00737402" w:rsidRPr="005200C7" w14:paraId="2D61FE94" w14:textId="77777777" w:rsidTr="00737402">
        <w:tc>
          <w:tcPr>
            <w:tcW w:w="9640" w:type="dxa"/>
            <w:gridSpan w:val="4"/>
            <w:shd w:val="clear" w:color="auto" w:fill="D9D9D9"/>
            <w:vAlign w:val="center"/>
          </w:tcPr>
          <w:p w14:paraId="66A0441D" w14:textId="77777777" w:rsidR="00737402" w:rsidRPr="00FC3DF7" w:rsidRDefault="00737402" w:rsidP="00194211">
            <w:pPr>
              <w:rPr>
                <w:i/>
                <w:sz w:val="18"/>
                <w:szCs w:val="18"/>
              </w:rPr>
            </w:pPr>
            <w:r w:rsidRPr="00FC3DF7">
              <w:rPr>
                <w:i/>
                <w:sz w:val="18"/>
                <w:szCs w:val="18"/>
              </w:rPr>
              <w:t>Relevant to the Energy Industries sub-sector</w:t>
            </w:r>
          </w:p>
        </w:tc>
      </w:tr>
      <w:tr w:rsidR="00737402" w:rsidRPr="005200C7" w14:paraId="4EC90D8D" w14:textId="77777777" w:rsidTr="00194211">
        <w:tc>
          <w:tcPr>
            <w:tcW w:w="2127" w:type="dxa"/>
            <w:vAlign w:val="center"/>
          </w:tcPr>
          <w:p w14:paraId="237038C7" w14:textId="77777777" w:rsidR="00737402" w:rsidRPr="005200C7" w:rsidRDefault="00737402" w:rsidP="00194211">
            <w:pPr>
              <w:rPr>
                <w:sz w:val="18"/>
                <w:szCs w:val="18"/>
              </w:rPr>
            </w:pPr>
            <w:r w:rsidRPr="005200C7">
              <w:rPr>
                <w:sz w:val="18"/>
                <w:szCs w:val="18"/>
              </w:rPr>
              <w:t>Realising energy savings and climate benefits of implementing mandatory energy auditing in coordination with HCFC phase-out and HFC avoidance</w:t>
            </w:r>
          </w:p>
        </w:tc>
        <w:tc>
          <w:tcPr>
            <w:tcW w:w="822" w:type="dxa"/>
            <w:vAlign w:val="center"/>
          </w:tcPr>
          <w:p w14:paraId="233EE8EF" w14:textId="77777777" w:rsidR="00737402" w:rsidRPr="005200C7" w:rsidRDefault="00737402" w:rsidP="00194211">
            <w:pPr>
              <w:rPr>
                <w:sz w:val="18"/>
                <w:szCs w:val="18"/>
              </w:rPr>
            </w:pPr>
            <w:r w:rsidRPr="005200C7">
              <w:rPr>
                <w:sz w:val="18"/>
                <w:szCs w:val="18"/>
              </w:rPr>
              <w:t>2019-2024</w:t>
            </w:r>
          </w:p>
        </w:tc>
        <w:tc>
          <w:tcPr>
            <w:tcW w:w="1689" w:type="dxa"/>
            <w:vAlign w:val="center"/>
          </w:tcPr>
          <w:p w14:paraId="3F7AECF8" w14:textId="77777777" w:rsidR="00737402" w:rsidRPr="005200C7" w:rsidRDefault="00737402" w:rsidP="00194211">
            <w:pPr>
              <w:rPr>
                <w:sz w:val="18"/>
                <w:szCs w:val="18"/>
              </w:rPr>
            </w:pPr>
            <w:r w:rsidRPr="005200C7">
              <w:rPr>
                <w:sz w:val="18"/>
                <w:szCs w:val="18"/>
              </w:rPr>
              <w:t>USD 4.5 million</w:t>
            </w:r>
          </w:p>
          <w:p w14:paraId="69E1BF42" w14:textId="77777777" w:rsidR="00737402" w:rsidRPr="005200C7" w:rsidRDefault="00737402" w:rsidP="00194211">
            <w:pPr>
              <w:rPr>
                <w:sz w:val="18"/>
                <w:szCs w:val="18"/>
              </w:rPr>
            </w:pPr>
          </w:p>
          <w:p w14:paraId="147326AA" w14:textId="77777777" w:rsidR="00737402" w:rsidRPr="005200C7" w:rsidRDefault="00737402" w:rsidP="00194211">
            <w:pPr>
              <w:rPr>
                <w:sz w:val="18"/>
                <w:szCs w:val="18"/>
              </w:rPr>
            </w:pPr>
            <w:r w:rsidRPr="005200C7">
              <w:rPr>
                <w:sz w:val="18"/>
                <w:szCs w:val="18"/>
              </w:rPr>
              <w:t>(GEF-financed, UNDP-implemented)</w:t>
            </w:r>
          </w:p>
          <w:p w14:paraId="209EF983" w14:textId="77777777" w:rsidR="00737402" w:rsidRPr="005200C7" w:rsidRDefault="00737402" w:rsidP="00194211">
            <w:pPr>
              <w:rPr>
                <w:sz w:val="18"/>
                <w:szCs w:val="18"/>
              </w:rPr>
            </w:pPr>
          </w:p>
          <w:p w14:paraId="0DD6E172" w14:textId="77777777" w:rsidR="00737402" w:rsidRPr="005200C7" w:rsidRDefault="00737402" w:rsidP="00194211">
            <w:pPr>
              <w:rPr>
                <w:sz w:val="18"/>
                <w:szCs w:val="18"/>
              </w:rPr>
            </w:pPr>
            <w:r w:rsidRPr="005200C7">
              <w:rPr>
                <w:i/>
                <w:sz w:val="18"/>
                <w:szCs w:val="18"/>
              </w:rPr>
              <w:t>(At CEO Endorsement stage)</w:t>
            </w:r>
          </w:p>
        </w:tc>
        <w:tc>
          <w:tcPr>
            <w:tcW w:w="5002" w:type="dxa"/>
            <w:vAlign w:val="center"/>
          </w:tcPr>
          <w:p w14:paraId="07939780" w14:textId="77777777" w:rsidR="00737402" w:rsidRPr="00982B0E" w:rsidRDefault="00737402" w:rsidP="00982B0E">
            <w:pPr>
              <w:pStyle w:val="ListParagraph"/>
              <w:rPr>
                <w:sz w:val="18"/>
                <w:szCs w:val="18"/>
                <w:u w:val="none"/>
              </w:rPr>
            </w:pPr>
            <w:r w:rsidRPr="00982B0E">
              <w:rPr>
                <w:sz w:val="18"/>
                <w:szCs w:val="18"/>
                <w:u w:val="none"/>
              </w:rPr>
              <w:t>Enhancement of the national mandatory energy audit programme</w:t>
            </w:r>
          </w:p>
          <w:p w14:paraId="4427CF1C" w14:textId="77777777" w:rsidR="00737402" w:rsidRPr="00982B0E" w:rsidRDefault="00737402" w:rsidP="00982B0E">
            <w:pPr>
              <w:pStyle w:val="ListParagraph"/>
              <w:rPr>
                <w:sz w:val="18"/>
                <w:szCs w:val="18"/>
                <w:u w:val="none"/>
              </w:rPr>
            </w:pPr>
            <w:r w:rsidRPr="00982B0E">
              <w:rPr>
                <w:sz w:val="18"/>
                <w:szCs w:val="18"/>
                <w:u w:val="none"/>
              </w:rPr>
              <w:t>Implementation of boiler and RAC energy efficiency recommendations for large energy consumers and the promotion of energy efficient, low-GWP refrigerants</w:t>
            </w:r>
          </w:p>
          <w:p w14:paraId="46413532" w14:textId="77777777" w:rsidR="00737402" w:rsidRPr="00982B0E" w:rsidRDefault="00737402" w:rsidP="00982B0E">
            <w:pPr>
              <w:pStyle w:val="ListParagraph"/>
              <w:rPr>
                <w:sz w:val="18"/>
                <w:szCs w:val="18"/>
                <w:u w:val="none"/>
              </w:rPr>
            </w:pPr>
            <w:r w:rsidRPr="00982B0E">
              <w:rPr>
                <w:sz w:val="18"/>
                <w:szCs w:val="18"/>
                <w:u w:val="none"/>
              </w:rPr>
              <w:t>Provision of credit line for the implementation of energy audit recommendations</w:t>
            </w:r>
          </w:p>
          <w:p w14:paraId="4EA298B4" w14:textId="77777777" w:rsidR="00737402" w:rsidRPr="00982B0E" w:rsidRDefault="00737402" w:rsidP="00982B0E">
            <w:pPr>
              <w:pStyle w:val="ListParagraph"/>
              <w:rPr>
                <w:sz w:val="18"/>
                <w:szCs w:val="18"/>
                <w:u w:val="none"/>
              </w:rPr>
            </w:pPr>
            <w:r w:rsidRPr="00982B0E">
              <w:rPr>
                <w:sz w:val="18"/>
                <w:szCs w:val="18"/>
                <w:u w:val="none"/>
              </w:rPr>
              <w:t>Implementation of energy management and energy MRV systems in large energy consumers and SMEs</w:t>
            </w:r>
          </w:p>
        </w:tc>
      </w:tr>
      <w:tr w:rsidR="00737402" w:rsidRPr="005200C7" w14:paraId="5D7B52AD" w14:textId="77777777" w:rsidTr="00194211">
        <w:tc>
          <w:tcPr>
            <w:tcW w:w="2127" w:type="dxa"/>
            <w:vAlign w:val="center"/>
          </w:tcPr>
          <w:p w14:paraId="1219C419" w14:textId="77777777" w:rsidR="00737402" w:rsidRPr="005200C7" w:rsidRDefault="00737402" w:rsidP="00194211">
            <w:pPr>
              <w:rPr>
                <w:sz w:val="18"/>
                <w:szCs w:val="18"/>
              </w:rPr>
            </w:pPr>
            <w:r w:rsidRPr="005200C7">
              <w:rPr>
                <w:sz w:val="18"/>
                <w:szCs w:val="18"/>
              </w:rPr>
              <w:t>Accelerating the transformational shift to a low-carbon economy in the Republic of Mauritius</w:t>
            </w:r>
          </w:p>
        </w:tc>
        <w:tc>
          <w:tcPr>
            <w:tcW w:w="822" w:type="dxa"/>
            <w:vAlign w:val="center"/>
          </w:tcPr>
          <w:p w14:paraId="0184BFD0" w14:textId="77777777" w:rsidR="00737402" w:rsidRPr="005200C7" w:rsidRDefault="00737402" w:rsidP="00194211">
            <w:pPr>
              <w:rPr>
                <w:sz w:val="18"/>
                <w:szCs w:val="18"/>
              </w:rPr>
            </w:pPr>
            <w:r w:rsidRPr="005200C7">
              <w:rPr>
                <w:sz w:val="18"/>
                <w:szCs w:val="18"/>
              </w:rPr>
              <w:t>2017-2024</w:t>
            </w:r>
          </w:p>
        </w:tc>
        <w:tc>
          <w:tcPr>
            <w:tcW w:w="1689" w:type="dxa"/>
            <w:vAlign w:val="center"/>
          </w:tcPr>
          <w:p w14:paraId="5CBF4209" w14:textId="77777777" w:rsidR="00737402" w:rsidRPr="005200C7" w:rsidRDefault="00737402" w:rsidP="00194211">
            <w:pPr>
              <w:rPr>
                <w:sz w:val="18"/>
                <w:szCs w:val="18"/>
              </w:rPr>
            </w:pPr>
            <w:r w:rsidRPr="005200C7">
              <w:rPr>
                <w:sz w:val="18"/>
                <w:szCs w:val="18"/>
              </w:rPr>
              <w:t>USD 28.2 million</w:t>
            </w:r>
          </w:p>
          <w:p w14:paraId="30554B4F" w14:textId="77777777" w:rsidR="00737402" w:rsidRPr="005200C7" w:rsidRDefault="00737402" w:rsidP="00194211">
            <w:pPr>
              <w:rPr>
                <w:sz w:val="18"/>
                <w:szCs w:val="18"/>
              </w:rPr>
            </w:pPr>
          </w:p>
          <w:p w14:paraId="5336D430" w14:textId="77777777" w:rsidR="00737402" w:rsidRPr="005200C7" w:rsidRDefault="00737402" w:rsidP="00194211">
            <w:pPr>
              <w:rPr>
                <w:sz w:val="18"/>
                <w:szCs w:val="18"/>
              </w:rPr>
            </w:pPr>
            <w:r w:rsidRPr="005200C7">
              <w:rPr>
                <w:sz w:val="18"/>
                <w:szCs w:val="18"/>
              </w:rPr>
              <w:t>(GCF-financed, UNDP-implemented)</w:t>
            </w:r>
          </w:p>
        </w:tc>
        <w:tc>
          <w:tcPr>
            <w:tcW w:w="5002" w:type="dxa"/>
            <w:vAlign w:val="center"/>
          </w:tcPr>
          <w:p w14:paraId="79772201" w14:textId="77777777" w:rsidR="00737402" w:rsidRPr="00982B0E" w:rsidRDefault="00737402" w:rsidP="00982B0E">
            <w:pPr>
              <w:pStyle w:val="ListParagraph"/>
              <w:rPr>
                <w:sz w:val="18"/>
                <w:szCs w:val="18"/>
                <w:u w:val="none"/>
              </w:rPr>
            </w:pPr>
            <w:r w:rsidRPr="00982B0E">
              <w:rPr>
                <w:sz w:val="18"/>
                <w:szCs w:val="18"/>
                <w:u w:val="none"/>
              </w:rPr>
              <w:t>Institutional strengthening for renewable energy (MARENA)</w:t>
            </w:r>
          </w:p>
          <w:p w14:paraId="6A608822" w14:textId="77777777" w:rsidR="00737402" w:rsidRPr="00982B0E" w:rsidRDefault="00737402" w:rsidP="00982B0E">
            <w:pPr>
              <w:pStyle w:val="ListParagraph"/>
              <w:rPr>
                <w:sz w:val="18"/>
                <w:szCs w:val="18"/>
                <w:u w:val="none"/>
              </w:rPr>
            </w:pPr>
            <w:r w:rsidRPr="00982B0E">
              <w:rPr>
                <w:sz w:val="18"/>
                <w:szCs w:val="18"/>
                <w:u w:val="none"/>
              </w:rPr>
              <w:t>Installation of battery energy storage system and accompanying software for the national grid to absorb up to 185 MW of intermittent renewable energy</w:t>
            </w:r>
          </w:p>
          <w:p w14:paraId="14535F4A" w14:textId="77777777" w:rsidR="00737402" w:rsidRPr="00982B0E" w:rsidRDefault="00737402" w:rsidP="00982B0E">
            <w:pPr>
              <w:pStyle w:val="ListParagraph"/>
              <w:rPr>
                <w:sz w:val="18"/>
                <w:szCs w:val="18"/>
                <w:u w:val="none"/>
              </w:rPr>
            </w:pPr>
            <w:r w:rsidRPr="00982B0E">
              <w:rPr>
                <w:sz w:val="18"/>
                <w:szCs w:val="18"/>
                <w:u w:val="none"/>
              </w:rPr>
              <w:t>25 MW of rooftop PV installed</w:t>
            </w:r>
          </w:p>
        </w:tc>
      </w:tr>
      <w:tr w:rsidR="00737402" w:rsidRPr="005200C7" w14:paraId="5CEC9458" w14:textId="77777777" w:rsidTr="00737402">
        <w:tc>
          <w:tcPr>
            <w:tcW w:w="9640" w:type="dxa"/>
            <w:gridSpan w:val="4"/>
            <w:shd w:val="clear" w:color="auto" w:fill="D9D9D9"/>
            <w:vAlign w:val="center"/>
          </w:tcPr>
          <w:p w14:paraId="5F1FAAE9" w14:textId="77777777" w:rsidR="00737402" w:rsidRPr="00FC3DF7" w:rsidRDefault="00737402" w:rsidP="00194211">
            <w:pPr>
              <w:rPr>
                <w:bCs/>
                <w:i/>
                <w:sz w:val="18"/>
                <w:szCs w:val="18"/>
              </w:rPr>
            </w:pPr>
            <w:r w:rsidRPr="00FC3DF7">
              <w:rPr>
                <w:bCs/>
                <w:i/>
                <w:sz w:val="18"/>
                <w:szCs w:val="18"/>
              </w:rPr>
              <w:t>Relevant to the Transport sub-sector</w:t>
            </w:r>
          </w:p>
        </w:tc>
      </w:tr>
      <w:tr w:rsidR="00737402" w:rsidRPr="005200C7" w14:paraId="75F5597D" w14:textId="77777777" w:rsidTr="00194211">
        <w:tc>
          <w:tcPr>
            <w:tcW w:w="2127" w:type="dxa"/>
            <w:vAlign w:val="center"/>
          </w:tcPr>
          <w:p w14:paraId="7B03DCCA" w14:textId="77777777" w:rsidR="00737402" w:rsidRPr="005200C7" w:rsidRDefault="00737402" w:rsidP="00194211">
            <w:pPr>
              <w:rPr>
                <w:sz w:val="18"/>
                <w:szCs w:val="18"/>
              </w:rPr>
            </w:pPr>
            <w:r w:rsidRPr="005200C7">
              <w:rPr>
                <w:sz w:val="18"/>
                <w:szCs w:val="18"/>
              </w:rPr>
              <w:t>Promoting the low-carbon transport sector in the Republic of Mauritius</w:t>
            </w:r>
          </w:p>
        </w:tc>
        <w:tc>
          <w:tcPr>
            <w:tcW w:w="822" w:type="dxa"/>
            <w:vAlign w:val="center"/>
          </w:tcPr>
          <w:p w14:paraId="5E3A3601" w14:textId="77777777" w:rsidR="00737402" w:rsidRPr="005200C7" w:rsidRDefault="00737402" w:rsidP="00194211">
            <w:pPr>
              <w:rPr>
                <w:sz w:val="18"/>
                <w:szCs w:val="18"/>
              </w:rPr>
            </w:pPr>
            <w:r w:rsidRPr="005200C7">
              <w:rPr>
                <w:sz w:val="18"/>
                <w:szCs w:val="18"/>
              </w:rPr>
              <w:t>2020-2025</w:t>
            </w:r>
          </w:p>
        </w:tc>
        <w:tc>
          <w:tcPr>
            <w:tcW w:w="1689" w:type="dxa"/>
            <w:vAlign w:val="center"/>
          </w:tcPr>
          <w:p w14:paraId="7A36B1AE" w14:textId="77777777" w:rsidR="00737402" w:rsidRPr="005200C7" w:rsidRDefault="00737402" w:rsidP="00194211">
            <w:pPr>
              <w:rPr>
                <w:sz w:val="18"/>
                <w:szCs w:val="18"/>
              </w:rPr>
            </w:pPr>
            <w:r w:rsidRPr="005200C7">
              <w:rPr>
                <w:sz w:val="18"/>
                <w:szCs w:val="18"/>
              </w:rPr>
              <w:t>USD 3.7 million</w:t>
            </w:r>
          </w:p>
          <w:p w14:paraId="1F4B60F1" w14:textId="77777777" w:rsidR="00737402" w:rsidRPr="005200C7" w:rsidRDefault="00737402" w:rsidP="00194211">
            <w:pPr>
              <w:rPr>
                <w:sz w:val="18"/>
                <w:szCs w:val="18"/>
              </w:rPr>
            </w:pPr>
          </w:p>
          <w:p w14:paraId="29D2B36D" w14:textId="77777777" w:rsidR="00737402" w:rsidRPr="005200C7" w:rsidRDefault="00737402" w:rsidP="00194211">
            <w:pPr>
              <w:rPr>
                <w:sz w:val="18"/>
                <w:szCs w:val="18"/>
              </w:rPr>
            </w:pPr>
            <w:r w:rsidRPr="005200C7">
              <w:rPr>
                <w:sz w:val="18"/>
                <w:szCs w:val="18"/>
              </w:rPr>
              <w:t>(GEF-financed, UNDP-implemented)</w:t>
            </w:r>
          </w:p>
          <w:p w14:paraId="133A2714" w14:textId="77777777" w:rsidR="00737402" w:rsidRPr="005200C7" w:rsidRDefault="00737402" w:rsidP="00194211">
            <w:pPr>
              <w:rPr>
                <w:sz w:val="18"/>
                <w:szCs w:val="18"/>
              </w:rPr>
            </w:pPr>
          </w:p>
          <w:p w14:paraId="38F9F2DF" w14:textId="77777777" w:rsidR="00737402" w:rsidRPr="005200C7" w:rsidRDefault="00737402" w:rsidP="00194211">
            <w:pPr>
              <w:rPr>
                <w:i/>
                <w:sz w:val="18"/>
                <w:szCs w:val="18"/>
              </w:rPr>
            </w:pPr>
            <w:r w:rsidRPr="005200C7">
              <w:rPr>
                <w:i/>
                <w:sz w:val="18"/>
                <w:szCs w:val="18"/>
              </w:rPr>
              <w:t>(At PIF stage)</w:t>
            </w:r>
          </w:p>
        </w:tc>
        <w:tc>
          <w:tcPr>
            <w:tcW w:w="5002" w:type="dxa"/>
            <w:vAlign w:val="center"/>
          </w:tcPr>
          <w:p w14:paraId="67E72F39" w14:textId="77777777" w:rsidR="00737402" w:rsidRPr="00982B0E" w:rsidRDefault="00737402" w:rsidP="00982B0E">
            <w:pPr>
              <w:pStyle w:val="ListParagraph"/>
              <w:rPr>
                <w:sz w:val="18"/>
                <w:szCs w:val="18"/>
                <w:u w:val="none"/>
              </w:rPr>
            </w:pPr>
            <w:r w:rsidRPr="00982B0E">
              <w:rPr>
                <w:sz w:val="18"/>
                <w:szCs w:val="18"/>
                <w:u w:val="none"/>
              </w:rPr>
              <w:t>Promote capital investments into developing sustainable transport infrastructure (electric buses) to reduce transport-related GHG emissions</w:t>
            </w:r>
          </w:p>
          <w:p w14:paraId="2B0B9239" w14:textId="77777777" w:rsidR="00737402" w:rsidRPr="00982B0E" w:rsidRDefault="00737402" w:rsidP="00982B0E">
            <w:pPr>
              <w:pStyle w:val="ListParagraph"/>
              <w:rPr>
                <w:sz w:val="18"/>
                <w:szCs w:val="18"/>
                <w:u w:val="none"/>
              </w:rPr>
            </w:pPr>
            <w:r w:rsidRPr="00982B0E">
              <w:rPr>
                <w:sz w:val="18"/>
                <w:szCs w:val="18"/>
                <w:u w:val="none"/>
              </w:rPr>
              <w:t>Engage and build technical capacities of transport-related policy-makers, regulatory agencies, financial institutions and the private sector</w:t>
            </w:r>
          </w:p>
        </w:tc>
      </w:tr>
      <w:tr w:rsidR="00737402" w:rsidRPr="005200C7" w14:paraId="514F7998" w14:textId="77777777" w:rsidTr="00737402">
        <w:tc>
          <w:tcPr>
            <w:tcW w:w="9640" w:type="dxa"/>
            <w:gridSpan w:val="4"/>
            <w:shd w:val="clear" w:color="auto" w:fill="D9D9D9"/>
            <w:vAlign w:val="center"/>
          </w:tcPr>
          <w:p w14:paraId="607706DF" w14:textId="77777777" w:rsidR="00737402" w:rsidRPr="005200C7" w:rsidRDefault="00737402" w:rsidP="00194211">
            <w:pPr>
              <w:rPr>
                <w:bCs/>
                <w:i/>
                <w:sz w:val="18"/>
                <w:szCs w:val="18"/>
              </w:rPr>
            </w:pPr>
            <w:r w:rsidRPr="005200C7">
              <w:rPr>
                <w:bCs/>
                <w:i/>
                <w:sz w:val="18"/>
                <w:szCs w:val="18"/>
              </w:rPr>
              <w:t>Relevant to the Waste sector</w:t>
            </w:r>
          </w:p>
        </w:tc>
      </w:tr>
      <w:tr w:rsidR="00737402" w:rsidRPr="005200C7" w14:paraId="41537C10" w14:textId="77777777" w:rsidTr="00194211">
        <w:tc>
          <w:tcPr>
            <w:tcW w:w="2127" w:type="dxa"/>
            <w:vAlign w:val="center"/>
          </w:tcPr>
          <w:p w14:paraId="70F89B3A" w14:textId="77777777" w:rsidR="00737402" w:rsidRPr="005200C7" w:rsidRDefault="00737402" w:rsidP="00194211">
            <w:pPr>
              <w:rPr>
                <w:sz w:val="18"/>
                <w:szCs w:val="18"/>
              </w:rPr>
            </w:pPr>
            <w:r w:rsidRPr="005200C7">
              <w:rPr>
                <w:sz w:val="18"/>
                <w:szCs w:val="18"/>
              </w:rPr>
              <w:t>Transforming the tourism value chain in developing countries and SIDS</w:t>
            </w:r>
          </w:p>
        </w:tc>
        <w:tc>
          <w:tcPr>
            <w:tcW w:w="822" w:type="dxa"/>
            <w:vAlign w:val="center"/>
          </w:tcPr>
          <w:p w14:paraId="0C67E633" w14:textId="77777777" w:rsidR="00737402" w:rsidRPr="005200C7" w:rsidRDefault="00737402" w:rsidP="00194211">
            <w:pPr>
              <w:rPr>
                <w:sz w:val="18"/>
                <w:szCs w:val="18"/>
              </w:rPr>
            </w:pPr>
            <w:r w:rsidRPr="005200C7">
              <w:rPr>
                <w:sz w:val="18"/>
                <w:szCs w:val="18"/>
              </w:rPr>
              <w:t>2017-2020</w:t>
            </w:r>
          </w:p>
        </w:tc>
        <w:tc>
          <w:tcPr>
            <w:tcW w:w="1689" w:type="dxa"/>
            <w:vAlign w:val="center"/>
          </w:tcPr>
          <w:p w14:paraId="08F6FC2F" w14:textId="77777777" w:rsidR="00737402" w:rsidRPr="00A71E1B" w:rsidRDefault="00737402" w:rsidP="00194211">
            <w:pPr>
              <w:rPr>
                <w:sz w:val="18"/>
                <w:szCs w:val="18"/>
                <w:lang w:val="fr-FR"/>
              </w:rPr>
            </w:pPr>
            <w:r w:rsidRPr="00A71E1B">
              <w:rPr>
                <w:sz w:val="18"/>
                <w:szCs w:val="18"/>
                <w:lang w:val="fr-FR"/>
              </w:rPr>
              <w:t>USD 600,000</w:t>
            </w:r>
          </w:p>
          <w:p w14:paraId="06355FC2" w14:textId="77777777" w:rsidR="00737402" w:rsidRPr="00A71E1B" w:rsidRDefault="00737402" w:rsidP="00194211">
            <w:pPr>
              <w:rPr>
                <w:sz w:val="18"/>
                <w:szCs w:val="18"/>
                <w:lang w:val="fr-FR"/>
              </w:rPr>
            </w:pPr>
          </w:p>
          <w:p w14:paraId="48A7504C" w14:textId="77777777" w:rsidR="00737402" w:rsidRPr="00A71E1B" w:rsidRDefault="00737402" w:rsidP="00194211">
            <w:pPr>
              <w:rPr>
                <w:sz w:val="18"/>
                <w:szCs w:val="18"/>
                <w:lang w:val="fr-FR"/>
              </w:rPr>
            </w:pPr>
            <w:r w:rsidRPr="00A71E1B">
              <w:rPr>
                <w:sz w:val="18"/>
                <w:szCs w:val="18"/>
                <w:lang w:val="fr-FR"/>
              </w:rPr>
              <w:t>(International Climate Initiative (ICI)-financed, UN Environment-implemented)</w:t>
            </w:r>
          </w:p>
        </w:tc>
        <w:tc>
          <w:tcPr>
            <w:tcW w:w="5002" w:type="dxa"/>
            <w:vAlign w:val="center"/>
          </w:tcPr>
          <w:p w14:paraId="55C03DA3" w14:textId="77777777" w:rsidR="00737402" w:rsidRPr="002B0788" w:rsidRDefault="00737402" w:rsidP="00CA6361">
            <w:pPr>
              <w:numPr>
                <w:ilvl w:val="0"/>
                <w:numId w:val="6"/>
              </w:numPr>
              <w:ind w:left="360" w:hanging="404"/>
              <w:rPr>
                <w:sz w:val="18"/>
                <w:szCs w:val="18"/>
              </w:rPr>
            </w:pPr>
            <w:r w:rsidRPr="005200C7">
              <w:rPr>
                <w:sz w:val="18"/>
                <w:szCs w:val="18"/>
              </w:rPr>
              <w:t>Develop a national action plan to reduce GHG emissions and improve resource efficiency in selected tourism value chains</w:t>
            </w:r>
          </w:p>
          <w:p w14:paraId="4B0981BD" w14:textId="77777777" w:rsidR="00737402" w:rsidRPr="002B0788" w:rsidRDefault="00737402" w:rsidP="00CA6361">
            <w:pPr>
              <w:numPr>
                <w:ilvl w:val="0"/>
                <w:numId w:val="6"/>
              </w:numPr>
              <w:ind w:left="360" w:hanging="404"/>
              <w:rPr>
                <w:sz w:val="18"/>
                <w:szCs w:val="18"/>
              </w:rPr>
            </w:pPr>
            <w:r w:rsidRPr="002B0788">
              <w:rPr>
                <w:sz w:val="18"/>
                <w:szCs w:val="18"/>
              </w:rPr>
              <w:t>Identification of key emissions sources and potential mitigation interventions in hotels</w:t>
            </w:r>
          </w:p>
          <w:p w14:paraId="46C2FC3D" w14:textId="77777777" w:rsidR="00737402" w:rsidRPr="005200C7" w:rsidRDefault="00737402" w:rsidP="00CA6361">
            <w:pPr>
              <w:numPr>
                <w:ilvl w:val="0"/>
                <w:numId w:val="6"/>
              </w:numPr>
              <w:ind w:left="360" w:hanging="404"/>
              <w:rPr>
                <w:bCs/>
                <w:sz w:val="18"/>
                <w:szCs w:val="18"/>
              </w:rPr>
            </w:pPr>
            <w:r w:rsidRPr="002B0788">
              <w:rPr>
                <w:sz w:val="18"/>
                <w:szCs w:val="18"/>
              </w:rPr>
              <w:t>Technical capacity building workshops for hotels</w:t>
            </w:r>
          </w:p>
        </w:tc>
      </w:tr>
      <w:tr w:rsidR="00737402" w:rsidRPr="005200C7" w14:paraId="2424F736" w14:textId="77777777" w:rsidTr="00737402">
        <w:tc>
          <w:tcPr>
            <w:tcW w:w="9640" w:type="dxa"/>
            <w:gridSpan w:val="4"/>
            <w:shd w:val="clear" w:color="auto" w:fill="D9D9D9"/>
            <w:vAlign w:val="center"/>
          </w:tcPr>
          <w:p w14:paraId="3ACB4BBA" w14:textId="77777777" w:rsidR="00737402" w:rsidRPr="005200C7" w:rsidRDefault="00737402" w:rsidP="00194211">
            <w:pPr>
              <w:rPr>
                <w:bCs/>
                <w:i/>
                <w:sz w:val="18"/>
                <w:szCs w:val="18"/>
              </w:rPr>
            </w:pPr>
            <w:r w:rsidRPr="005200C7">
              <w:rPr>
                <w:bCs/>
                <w:i/>
                <w:sz w:val="18"/>
                <w:szCs w:val="18"/>
              </w:rPr>
              <w:t>Relevant to the AFOLU sector</w:t>
            </w:r>
          </w:p>
        </w:tc>
      </w:tr>
      <w:tr w:rsidR="00737402" w:rsidRPr="005200C7" w14:paraId="2346FE5D" w14:textId="77777777" w:rsidTr="00194211">
        <w:tc>
          <w:tcPr>
            <w:tcW w:w="2127" w:type="dxa"/>
            <w:vAlign w:val="center"/>
          </w:tcPr>
          <w:p w14:paraId="392CA7E3" w14:textId="77777777" w:rsidR="00737402" w:rsidRPr="005200C7" w:rsidRDefault="00737402" w:rsidP="00194211">
            <w:pPr>
              <w:rPr>
                <w:sz w:val="18"/>
                <w:szCs w:val="18"/>
              </w:rPr>
            </w:pPr>
            <w:r w:rsidRPr="005200C7">
              <w:rPr>
                <w:sz w:val="18"/>
                <w:szCs w:val="18"/>
              </w:rPr>
              <w:lastRenderedPageBreak/>
              <w:t>Mainstreaming sustainable land management and biodiversity conservation in the Republic of Mauritius</w:t>
            </w:r>
          </w:p>
        </w:tc>
        <w:tc>
          <w:tcPr>
            <w:tcW w:w="822" w:type="dxa"/>
            <w:vAlign w:val="center"/>
          </w:tcPr>
          <w:p w14:paraId="01317E12" w14:textId="77777777" w:rsidR="00737402" w:rsidRPr="005200C7" w:rsidRDefault="00737402" w:rsidP="00194211">
            <w:pPr>
              <w:rPr>
                <w:sz w:val="18"/>
                <w:szCs w:val="18"/>
              </w:rPr>
            </w:pPr>
            <w:r w:rsidRPr="005200C7">
              <w:rPr>
                <w:sz w:val="18"/>
                <w:szCs w:val="18"/>
              </w:rPr>
              <w:t>2019-2023</w:t>
            </w:r>
          </w:p>
        </w:tc>
        <w:tc>
          <w:tcPr>
            <w:tcW w:w="1689" w:type="dxa"/>
            <w:vAlign w:val="center"/>
          </w:tcPr>
          <w:p w14:paraId="62BE1A68" w14:textId="77777777" w:rsidR="00737402" w:rsidRPr="005200C7" w:rsidRDefault="00737402" w:rsidP="00194211">
            <w:pPr>
              <w:rPr>
                <w:sz w:val="18"/>
                <w:szCs w:val="18"/>
              </w:rPr>
            </w:pPr>
            <w:r w:rsidRPr="005200C7">
              <w:rPr>
                <w:sz w:val="18"/>
                <w:szCs w:val="18"/>
              </w:rPr>
              <w:t>USD 1.7 million</w:t>
            </w:r>
          </w:p>
          <w:p w14:paraId="3207E585" w14:textId="77777777" w:rsidR="00737402" w:rsidRPr="005200C7" w:rsidRDefault="00737402" w:rsidP="00194211">
            <w:pPr>
              <w:rPr>
                <w:sz w:val="18"/>
                <w:szCs w:val="18"/>
              </w:rPr>
            </w:pPr>
          </w:p>
          <w:p w14:paraId="73FCE72B" w14:textId="77777777" w:rsidR="00737402" w:rsidRPr="005200C7" w:rsidRDefault="00737402" w:rsidP="00194211">
            <w:pPr>
              <w:rPr>
                <w:sz w:val="18"/>
                <w:szCs w:val="18"/>
              </w:rPr>
            </w:pPr>
            <w:r w:rsidRPr="005200C7">
              <w:rPr>
                <w:sz w:val="18"/>
                <w:szCs w:val="18"/>
              </w:rPr>
              <w:t>(GEF-financed, UNDP-implemented)</w:t>
            </w:r>
          </w:p>
        </w:tc>
        <w:tc>
          <w:tcPr>
            <w:tcW w:w="5002" w:type="dxa"/>
            <w:vAlign w:val="center"/>
          </w:tcPr>
          <w:p w14:paraId="483D643E" w14:textId="77777777" w:rsidR="00737402" w:rsidRPr="008671B6" w:rsidRDefault="00737402" w:rsidP="00982B0E">
            <w:pPr>
              <w:pStyle w:val="ListParagraph"/>
              <w:rPr>
                <w:sz w:val="18"/>
                <w:szCs w:val="18"/>
                <w:u w:val="none"/>
              </w:rPr>
            </w:pPr>
            <w:r w:rsidRPr="008671B6">
              <w:rPr>
                <w:sz w:val="18"/>
                <w:szCs w:val="18"/>
                <w:u w:val="none"/>
              </w:rPr>
              <w:t>Strengthen the policy and institutional framework for the promotion of SLM, including integration of LDN targets into sector policies</w:t>
            </w:r>
          </w:p>
          <w:p w14:paraId="763B6FAB" w14:textId="77777777" w:rsidR="00737402" w:rsidRPr="008671B6" w:rsidRDefault="00737402" w:rsidP="00982B0E">
            <w:pPr>
              <w:pStyle w:val="ListParagraph"/>
              <w:rPr>
                <w:sz w:val="18"/>
                <w:szCs w:val="18"/>
                <w:u w:val="none"/>
              </w:rPr>
            </w:pPr>
            <w:r w:rsidRPr="008671B6">
              <w:rPr>
                <w:sz w:val="18"/>
                <w:szCs w:val="18"/>
                <w:u w:val="none"/>
              </w:rPr>
              <w:t>Develop an Integrated Land Information System as a decision support tool</w:t>
            </w:r>
          </w:p>
          <w:p w14:paraId="6137E875" w14:textId="77777777" w:rsidR="00737402" w:rsidRPr="008671B6" w:rsidRDefault="00737402" w:rsidP="00982B0E">
            <w:pPr>
              <w:pStyle w:val="ListParagraph"/>
              <w:rPr>
                <w:sz w:val="18"/>
                <w:szCs w:val="18"/>
                <w:u w:val="none"/>
              </w:rPr>
            </w:pPr>
            <w:r w:rsidRPr="008671B6">
              <w:rPr>
                <w:sz w:val="18"/>
                <w:szCs w:val="18"/>
                <w:u w:val="none"/>
              </w:rPr>
              <w:t>Capacity development on carbon balance software tools (including Collect Earth, EX-ACT and WOCAT methodologies)</w:t>
            </w:r>
          </w:p>
          <w:p w14:paraId="38DDBBBA" w14:textId="77777777" w:rsidR="00737402" w:rsidRPr="008671B6" w:rsidRDefault="00737402" w:rsidP="00982B0E">
            <w:pPr>
              <w:pStyle w:val="ListParagraph"/>
              <w:rPr>
                <w:sz w:val="18"/>
                <w:szCs w:val="18"/>
                <w:u w:val="none"/>
              </w:rPr>
            </w:pPr>
            <w:r w:rsidRPr="008671B6">
              <w:rPr>
                <w:sz w:val="18"/>
                <w:szCs w:val="18"/>
                <w:u w:val="none"/>
              </w:rPr>
              <w:t>Landscape-scale terrestrial ecosystem and land-use assessment (including development of thematic maps) – for ecosystems, forests, agricultural and livestock productivity, and degraded land</w:t>
            </w:r>
          </w:p>
          <w:p w14:paraId="2D77A5A3" w14:textId="77777777" w:rsidR="00737402" w:rsidRPr="008671B6" w:rsidRDefault="00737402" w:rsidP="00982B0E">
            <w:pPr>
              <w:pStyle w:val="ListParagraph"/>
              <w:rPr>
                <w:sz w:val="18"/>
                <w:szCs w:val="18"/>
                <w:u w:val="none"/>
              </w:rPr>
            </w:pPr>
            <w:r w:rsidRPr="008671B6">
              <w:rPr>
                <w:sz w:val="18"/>
                <w:szCs w:val="18"/>
                <w:u w:val="none"/>
              </w:rPr>
              <w:t>Planting and restoration of forestland</w:t>
            </w:r>
          </w:p>
          <w:p w14:paraId="621A3A9A" w14:textId="77777777" w:rsidR="00737402" w:rsidRPr="005200C7" w:rsidRDefault="00737402" w:rsidP="00982B0E">
            <w:pPr>
              <w:pStyle w:val="ListParagraph"/>
              <w:rPr>
                <w:bCs/>
              </w:rPr>
            </w:pPr>
            <w:r w:rsidRPr="008671B6">
              <w:rPr>
                <w:sz w:val="18"/>
                <w:szCs w:val="18"/>
                <w:u w:val="none"/>
              </w:rPr>
              <w:t>Gender mainstreaming in project activities</w:t>
            </w:r>
          </w:p>
        </w:tc>
      </w:tr>
    </w:tbl>
    <w:p w14:paraId="03A1A12D" w14:textId="77777777" w:rsidR="00A11EF7" w:rsidRPr="00997F81" w:rsidRDefault="00A11EF7" w:rsidP="00737402">
      <w:pPr>
        <w:ind w:left="-426"/>
        <w:jc w:val="both"/>
        <w:rPr>
          <w:i/>
          <w:sz w:val="21"/>
          <w:szCs w:val="22"/>
        </w:rPr>
      </w:pPr>
    </w:p>
    <w:p w14:paraId="0827EAC5" w14:textId="77777777" w:rsidR="00737402" w:rsidRPr="005144F7" w:rsidRDefault="00737402" w:rsidP="00982B0E">
      <w:pPr>
        <w:pStyle w:val="ListParagraph"/>
        <w:numPr>
          <w:ilvl w:val="0"/>
          <w:numId w:val="2"/>
        </w:numPr>
        <w:rPr>
          <w:rFonts w:eastAsia="SimSun"/>
        </w:rPr>
      </w:pPr>
      <w:r w:rsidRPr="005144F7">
        <w:rPr>
          <w:rFonts w:eastAsia="SimSun"/>
        </w:rPr>
        <w:t xml:space="preserve">The </w:t>
      </w:r>
      <w:r w:rsidR="00114D4F">
        <w:rPr>
          <w:rFonts w:eastAsia="SimSun"/>
        </w:rPr>
        <w:t>GEF</w:t>
      </w:r>
      <w:r w:rsidRPr="005144F7">
        <w:rPr>
          <w:rFonts w:eastAsia="SimSun"/>
        </w:rPr>
        <w:t xml:space="preserve"> project scenario</w:t>
      </w:r>
    </w:p>
    <w:p w14:paraId="7E664ED2" w14:textId="77777777" w:rsidR="00737402" w:rsidRPr="00FE7B91" w:rsidRDefault="00737402" w:rsidP="00737402">
      <w:pPr>
        <w:ind w:left="-450"/>
        <w:jc w:val="both"/>
        <w:rPr>
          <w:sz w:val="22"/>
          <w:szCs w:val="22"/>
        </w:rPr>
      </w:pPr>
    </w:p>
    <w:p w14:paraId="35EAC487" w14:textId="77777777" w:rsidR="00737402" w:rsidRDefault="00737402" w:rsidP="00737402">
      <w:pPr>
        <w:ind w:left="-426"/>
        <w:jc w:val="both"/>
        <w:rPr>
          <w:sz w:val="22"/>
          <w:szCs w:val="22"/>
        </w:rPr>
      </w:pPr>
      <w:r>
        <w:rPr>
          <w:sz w:val="22"/>
          <w:szCs w:val="22"/>
        </w:rPr>
        <w:t xml:space="preserve">Figure 2 presents the project scenario </w:t>
      </w:r>
      <w:r w:rsidR="001E04CF">
        <w:rPr>
          <w:sz w:val="22"/>
          <w:szCs w:val="22"/>
        </w:rPr>
        <w:t>solution</w:t>
      </w:r>
      <w:r>
        <w:rPr>
          <w:sz w:val="22"/>
          <w:szCs w:val="22"/>
        </w:rPr>
        <w:t xml:space="preserve"> tree. Four sets of solutions to the identified barriers – graduation to Tier 2 and Tier 3 GHG estimation approaches, development of a streamlined inventory process, strengthened institutional capacities and a CCIC transparency portal – will, in conjunction with relevant baseline projects, establish a fit-for-purpose MRV system in Mauritius that is capable of informing policy formulation and NDC progress tracking.</w:t>
      </w:r>
    </w:p>
    <w:p w14:paraId="0A823ACD" w14:textId="77777777" w:rsidR="005144F7" w:rsidRDefault="005144F7" w:rsidP="00737402">
      <w:pPr>
        <w:ind w:left="-426"/>
        <w:jc w:val="both"/>
        <w:rPr>
          <w:sz w:val="22"/>
          <w:szCs w:val="22"/>
        </w:rPr>
      </w:pPr>
    </w:p>
    <w:p w14:paraId="41167016" w14:textId="77777777" w:rsidR="00737402" w:rsidRPr="004E6665" w:rsidRDefault="00737402" w:rsidP="00737402">
      <w:pPr>
        <w:ind w:left="-426"/>
        <w:jc w:val="both"/>
        <w:rPr>
          <w:b/>
          <w:color w:val="000000"/>
          <w:sz w:val="22"/>
          <w:szCs w:val="22"/>
          <w:u w:val="single"/>
        </w:rPr>
      </w:pPr>
      <w:r w:rsidRPr="004E6665">
        <w:rPr>
          <w:b/>
          <w:sz w:val="22"/>
          <w:szCs w:val="22"/>
          <w:u w:val="single"/>
        </w:rPr>
        <w:t xml:space="preserve">Component 1: </w:t>
      </w:r>
      <w:r w:rsidRPr="004E6665">
        <w:rPr>
          <w:b/>
          <w:color w:val="000000"/>
          <w:sz w:val="22"/>
          <w:szCs w:val="22"/>
          <w:u w:val="single"/>
        </w:rPr>
        <w:t>Improving the accuracy and localisation of the national greenhouse gas inventory</w:t>
      </w:r>
    </w:p>
    <w:p w14:paraId="14D6DCE1" w14:textId="77777777" w:rsidR="00737402" w:rsidRPr="004E6665" w:rsidRDefault="00737402" w:rsidP="00737402">
      <w:pPr>
        <w:ind w:left="-426"/>
        <w:jc w:val="both"/>
        <w:rPr>
          <w:b/>
          <w:i/>
          <w:color w:val="000000"/>
          <w:sz w:val="22"/>
          <w:szCs w:val="22"/>
        </w:rPr>
      </w:pPr>
    </w:p>
    <w:p w14:paraId="11E451E6" w14:textId="77777777" w:rsidR="00737402" w:rsidRDefault="00114D4F" w:rsidP="00737402">
      <w:pPr>
        <w:ind w:left="-426"/>
        <w:jc w:val="both"/>
        <w:rPr>
          <w:i/>
          <w:color w:val="000000"/>
          <w:sz w:val="22"/>
          <w:szCs w:val="22"/>
        </w:rPr>
      </w:pPr>
      <w:r>
        <w:rPr>
          <w:i/>
          <w:color w:val="000000"/>
          <w:sz w:val="22"/>
          <w:szCs w:val="22"/>
        </w:rPr>
        <w:t>GEF</w:t>
      </w:r>
      <w:r w:rsidR="00737402" w:rsidRPr="000D27A2">
        <w:rPr>
          <w:i/>
          <w:color w:val="000000"/>
          <w:sz w:val="22"/>
          <w:szCs w:val="22"/>
        </w:rPr>
        <w:t xml:space="preserve"> budget: USD 1,010,000</w:t>
      </w:r>
    </w:p>
    <w:p w14:paraId="7F2693D5" w14:textId="1BD85C4C" w:rsidR="00737402" w:rsidRDefault="00737402" w:rsidP="00737402">
      <w:pPr>
        <w:ind w:left="-426"/>
        <w:jc w:val="both"/>
        <w:rPr>
          <w:i/>
          <w:sz w:val="22"/>
          <w:szCs w:val="22"/>
        </w:rPr>
      </w:pPr>
      <w:r w:rsidRPr="000D27A2">
        <w:rPr>
          <w:i/>
          <w:color w:val="000000"/>
          <w:sz w:val="22"/>
          <w:szCs w:val="22"/>
        </w:rPr>
        <w:t xml:space="preserve">Co-finance: USD 550,000 sourced from </w:t>
      </w:r>
      <w:proofErr w:type="spellStart"/>
      <w:r w:rsidR="00AD7FFE" w:rsidRPr="000D27A2">
        <w:rPr>
          <w:i/>
          <w:sz w:val="22"/>
          <w:szCs w:val="22"/>
        </w:rPr>
        <w:t>Mo</w:t>
      </w:r>
      <w:r w:rsidR="00AD7FFE">
        <w:rPr>
          <w:i/>
          <w:sz w:val="22"/>
          <w:szCs w:val="22"/>
        </w:rPr>
        <w:t>SSNSESD</w:t>
      </w:r>
      <w:proofErr w:type="spellEnd"/>
      <w:r>
        <w:rPr>
          <w:i/>
          <w:sz w:val="22"/>
          <w:szCs w:val="22"/>
        </w:rPr>
        <w:t xml:space="preserve">, relevant line ministries and parastatals (Central Electricity Board, National Transport Authority, Mauritius Renewable Energy Agency, Mauritius Cane Industry Authority, Forestry Services </w:t>
      </w:r>
      <w:r w:rsidRPr="008F04E3">
        <w:rPr>
          <w:i/>
          <w:sz w:val="22"/>
          <w:szCs w:val="22"/>
        </w:rPr>
        <w:t>Department, Food and Agricultural Research and Extension Institute, etc</w:t>
      </w:r>
      <w:r>
        <w:rPr>
          <w:i/>
          <w:sz w:val="22"/>
          <w:szCs w:val="22"/>
        </w:rPr>
        <w:t>.), Independent Power Producers, the University of Mauritius, UNDP</w:t>
      </w:r>
    </w:p>
    <w:p w14:paraId="060243D3" w14:textId="77777777" w:rsidR="00737402" w:rsidRDefault="00737402" w:rsidP="00737402">
      <w:pPr>
        <w:ind w:left="-426"/>
        <w:jc w:val="both"/>
        <w:rPr>
          <w:i/>
          <w:color w:val="000000"/>
          <w:sz w:val="22"/>
          <w:szCs w:val="22"/>
        </w:rPr>
      </w:pPr>
    </w:p>
    <w:p w14:paraId="1FF0A96E" w14:textId="77777777" w:rsidR="00737402" w:rsidRPr="004E6665" w:rsidRDefault="00737402" w:rsidP="00737402">
      <w:pPr>
        <w:ind w:left="-426"/>
        <w:jc w:val="both"/>
        <w:rPr>
          <w:b/>
          <w:i/>
          <w:sz w:val="22"/>
          <w:szCs w:val="22"/>
        </w:rPr>
      </w:pPr>
      <w:r w:rsidRPr="004E6665">
        <w:rPr>
          <w:b/>
          <w:i/>
          <w:sz w:val="22"/>
          <w:szCs w:val="22"/>
        </w:rPr>
        <w:t>1.1 Development of Tier 2 emission factors for key fuels: coal, heavy fuel oil, gasoline, diesel, kerosene and liquified petroleum gas – for application in Energy Industries, Transport, Manufacturing Industry and Construction, and Energy Other Sectors</w:t>
      </w:r>
    </w:p>
    <w:p w14:paraId="6EA0A824" w14:textId="77777777" w:rsidR="00737402" w:rsidRDefault="00737402" w:rsidP="00737402">
      <w:pPr>
        <w:ind w:left="-426"/>
        <w:rPr>
          <w:sz w:val="22"/>
          <w:szCs w:val="22"/>
        </w:rPr>
      </w:pPr>
    </w:p>
    <w:p w14:paraId="245F5C59" w14:textId="0CD47E72" w:rsidR="00737402" w:rsidRDefault="00737402" w:rsidP="00737402">
      <w:pPr>
        <w:ind w:left="-426"/>
        <w:jc w:val="both"/>
        <w:rPr>
          <w:sz w:val="22"/>
          <w:szCs w:val="22"/>
        </w:rPr>
      </w:pPr>
      <w:r>
        <w:rPr>
          <w:sz w:val="22"/>
          <w:szCs w:val="22"/>
        </w:rPr>
        <w:t xml:space="preserve">Mauritius uses 6 fossil fuels in its electricity generation, transport and industrial sub-sectors. All of these fossil fuels are imported and hence easily accounted for and testable. Working with the University of Mauritius, which has already undertaken some preliminary analysis of the coal emission factor, the </w:t>
      </w:r>
      <w:r w:rsidR="00114D4F">
        <w:rPr>
          <w:sz w:val="22"/>
          <w:szCs w:val="22"/>
        </w:rPr>
        <w:t>GEF</w:t>
      </w:r>
      <w:r>
        <w:rPr>
          <w:sz w:val="22"/>
          <w:szCs w:val="22"/>
        </w:rPr>
        <w:t xml:space="preserve"> project will support laboratory testing to estimate Tier 2 CO</w:t>
      </w:r>
      <w:r w:rsidRPr="00305A9B">
        <w:rPr>
          <w:sz w:val="22"/>
          <w:szCs w:val="22"/>
          <w:vertAlign w:val="subscript"/>
        </w:rPr>
        <w:t>2</w:t>
      </w:r>
      <w:r>
        <w:rPr>
          <w:sz w:val="22"/>
          <w:szCs w:val="22"/>
        </w:rPr>
        <w:t xml:space="preserve"> emission factors for these fuels. This will serve to improve the accuracy of the national GHG inventory across multiple sub-sectors that, together, account for almost 80% of national </w:t>
      </w:r>
      <w:r w:rsidRPr="00305A9B">
        <w:rPr>
          <w:sz w:val="22"/>
          <w:szCs w:val="22"/>
        </w:rPr>
        <w:t xml:space="preserve">emissions. It will complement the improvements to activity-related data in the Transport sub-sector that will be supported under Output 1.3. It will also actively support mitigation measures being undertaken by other initiatives. For example, a national </w:t>
      </w:r>
      <w:r w:rsidR="00C55DC8">
        <w:rPr>
          <w:sz w:val="22"/>
          <w:szCs w:val="22"/>
        </w:rPr>
        <w:t xml:space="preserve">energy </w:t>
      </w:r>
      <w:r w:rsidRPr="00305A9B">
        <w:rPr>
          <w:sz w:val="22"/>
          <w:szCs w:val="22"/>
        </w:rPr>
        <w:t>MRV system is being established under the UNDP-GEF project, ‘Realising energy savings and climate benefits of implementing mandatory energy auditing in coordination with HCFC phase-out and HFC avoidance</w:t>
      </w:r>
      <w:r>
        <w:rPr>
          <w:sz w:val="22"/>
          <w:szCs w:val="22"/>
        </w:rPr>
        <w:t>’, which will monitor energy consumption (and energy savings) in industrial and manufacturing processes such as steam production. The availability of Tier 2 emission factors for fuel oil and LPG will facilitate more accurate estimates of GHG emissions (and GHG mitigation) from these processes.</w:t>
      </w:r>
    </w:p>
    <w:p w14:paraId="79669221" w14:textId="77777777" w:rsidR="00737402" w:rsidRDefault="00737402" w:rsidP="00737402">
      <w:pPr>
        <w:ind w:left="-426"/>
        <w:jc w:val="both"/>
        <w:rPr>
          <w:sz w:val="22"/>
          <w:szCs w:val="22"/>
        </w:rPr>
      </w:pPr>
    </w:p>
    <w:p w14:paraId="6F00E6FC" w14:textId="77777777" w:rsidR="00114D4F" w:rsidRPr="004E6665" w:rsidRDefault="00114D4F" w:rsidP="00114D4F">
      <w:pPr>
        <w:ind w:left="-426"/>
        <w:jc w:val="both"/>
        <w:rPr>
          <w:b/>
          <w:i/>
          <w:sz w:val="22"/>
          <w:szCs w:val="22"/>
        </w:rPr>
      </w:pPr>
      <w:r w:rsidRPr="004E6665">
        <w:rPr>
          <w:b/>
          <w:i/>
          <w:sz w:val="22"/>
          <w:szCs w:val="22"/>
        </w:rPr>
        <w:t>1.2 Development of Tier 3 emission factors for Mauritius’s 9 thermal power plants and a real-time grid emission factor – for application in Energy Industries and (increasingly) Transport</w:t>
      </w:r>
    </w:p>
    <w:p w14:paraId="10AA3A13" w14:textId="77777777" w:rsidR="00114D4F" w:rsidRDefault="00114D4F" w:rsidP="00114D4F">
      <w:pPr>
        <w:ind w:left="-426"/>
        <w:jc w:val="both"/>
        <w:rPr>
          <w:sz w:val="22"/>
          <w:szCs w:val="22"/>
        </w:rPr>
      </w:pPr>
    </w:p>
    <w:p w14:paraId="6D82AD5C" w14:textId="77777777" w:rsidR="00114D4F" w:rsidRDefault="00114D4F" w:rsidP="00114D4F">
      <w:pPr>
        <w:ind w:left="-426"/>
        <w:jc w:val="both"/>
        <w:rPr>
          <w:rFonts w:cstheme="minorHAnsi"/>
          <w:sz w:val="22"/>
          <w:szCs w:val="22"/>
        </w:rPr>
      </w:pPr>
      <w:r>
        <w:rPr>
          <w:sz w:val="22"/>
          <w:szCs w:val="22"/>
        </w:rPr>
        <w:t>The 9 thermal power plants in Mauritius – which use coal, heavy fuel oil and kerosene– account for 85% of the country’s installed power capacity.</w:t>
      </w:r>
      <w:r>
        <w:rPr>
          <w:rStyle w:val="FootnoteReference"/>
          <w:sz w:val="22"/>
          <w:szCs w:val="22"/>
        </w:rPr>
        <w:footnoteReference w:id="4"/>
      </w:r>
      <w:r>
        <w:rPr>
          <w:sz w:val="22"/>
          <w:szCs w:val="22"/>
        </w:rPr>
        <w:t xml:space="preserve"> The Central Electricity Board (CEB) operates 4 of these plants and Independent </w:t>
      </w:r>
      <w:r>
        <w:rPr>
          <w:sz w:val="22"/>
          <w:szCs w:val="22"/>
        </w:rPr>
        <w:lastRenderedPageBreak/>
        <w:t xml:space="preserve">Power Producers (IPPs) the remaining five. Online Continuous Emission Monitoring Systems (OCEMSs) are available in the majority of these power plants, the data from which can be used to develop plant-specific emission factors. </w:t>
      </w:r>
      <w:proofErr w:type="spellStart"/>
      <w:r>
        <w:rPr>
          <w:sz w:val="22"/>
          <w:szCs w:val="22"/>
        </w:rPr>
        <w:t>Alteo</w:t>
      </w:r>
      <w:proofErr w:type="spellEnd"/>
      <w:r>
        <w:rPr>
          <w:sz w:val="22"/>
          <w:szCs w:val="22"/>
        </w:rPr>
        <w:t xml:space="preserve"> Ltd., an IPP, has, for example, already developed a coal CO</w:t>
      </w:r>
      <w:r w:rsidRPr="00576905">
        <w:rPr>
          <w:sz w:val="22"/>
          <w:szCs w:val="22"/>
          <w:vertAlign w:val="subscript"/>
        </w:rPr>
        <w:t>2</w:t>
      </w:r>
      <w:r>
        <w:rPr>
          <w:sz w:val="22"/>
          <w:szCs w:val="22"/>
        </w:rPr>
        <w:t xml:space="preserve"> emission factor for its plant using its OCEMS. In those plants without monitoring systems, temporary monitoring equipment will need to be installed. Working with the University of Mauritius, the Air Pollution Monitoring Unit of the Mauritius Cane Industry Authority (MCIA), the CEB and IPPs, the GEF project will develop Tier 3 CO</w:t>
      </w:r>
      <w:r w:rsidRPr="00B34D65">
        <w:rPr>
          <w:sz w:val="22"/>
          <w:szCs w:val="22"/>
          <w:vertAlign w:val="subscript"/>
        </w:rPr>
        <w:t>2</w:t>
      </w:r>
      <w:r>
        <w:rPr>
          <w:sz w:val="22"/>
          <w:szCs w:val="22"/>
        </w:rPr>
        <w:t xml:space="preserve"> emission factors for the country’s 9 thermal power plants. In conjunction with the improved plant-specific activity data that will be supplied by the MRV system being established by the </w:t>
      </w:r>
      <w:r>
        <w:rPr>
          <w:rFonts w:cstheme="minorHAnsi"/>
          <w:sz w:val="22"/>
          <w:szCs w:val="22"/>
        </w:rPr>
        <w:t xml:space="preserve">UNEP-GEF NAMAs project, this will enable emissions to be accurately tracked – at Tier 3 level of accuracy – in the national GHG inventory. </w:t>
      </w:r>
    </w:p>
    <w:p w14:paraId="4941A70B" w14:textId="77777777" w:rsidR="00114D4F" w:rsidRDefault="00114D4F" w:rsidP="00114D4F">
      <w:pPr>
        <w:ind w:left="-426"/>
        <w:jc w:val="both"/>
        <w:rPr>
          <w:rFonts w:cstheme="minorHAnsi"/>
          <w:sz w:val="22"/>
          <w:szCs w:val="22"/>
        </w:rPr>
      </w:pPr>
    </w:p>
    <w:p w14:paraId="76B23E50" w14:textId="77777777" w:rsidR="00114D4F" w:rsidRPr="005109E5" w:rsidRDefault="00114D4F" w:rsidP="00114D4F">
      <w:pPr>
        <w:ind w:left="-426"/>
        <w:jc w:val="both"/>
        <w:rPr>
          <w:sz w:val="22"/>
          <w:szCs w:val="22"/>
        </w:rPr>
      </w:pPr>
      <w:r>
        <w:rPr>
          <w:rFonts w:cstheme="minorHAnsi"/>
          <w:sz w:val="22"/>
          <w:szCs w:val="22"/>
        </w:rPr>
        <w:t>Combined with CEB data relating to real-time power injections into the grid from the thermal power stations, bagasse plants, hydro-power plants, and wind and solar farms, a real-time weighted-average grid emission factor will, in conjunction with the Mauritius Renewable Energy Agency (MARENA), be developed and tracked on a second-by-second basis. By revealing diurnal and seasonal patterns in grid emissions, mitigation efforts – such as energy efficiency interventions in industry and buildings, and electricity tariff-setting – can be optimised for maximum emission-reduction benefits. Similarly, as battery recharging becomes more widespread as the transport sector electrifies, real-time grid emission data will be invaluable in guiding policy-makers, bus companies and private consumers with regard to the best (least-emission) times to plug into the grid.</w:t>
      </w:r>
    </w:p>
    <w:p w14:paraId="2F0D83CA" w14:textId="1605A95D" w:rsidR="00114D4F" w:rsidRPr="004E6665" w:rsidRDefault="00114D4F" w:rsidP="00114D4F">
      <w:pPr>
        <w:ind w:left="-426"/>
        <w:jc w:val="both"/>
        <w:rPr>
          <w:rFonts w:cstheme="minorHAnsi"/>
          <w:b/>
          <w:sz w:val="22"/>
          <w:szCs w:val="22"/>
        </w:rPr>
      </w:pPr>
    </w:p>
    <w:p w14:paraId="704CCABA" w14:textId="77777777" w:rsidR="0010661C" w:rsidRPr="004E6665" w:rsidRDefault="0010661C" w:rsidP="0010661C">
      <w:pPr>
        <w:ind w:left="-426"/>
        <w:rPr>
          <w:b/>
          <w:i/>
          <w:sz w:val="22"/>
          <w:szCs w:val="22"/>
        </w:rPr>
      </w:pPr>
      <w:r w:rsidRPr="004E6665">
        <w:rPr>
          <w:b/>
          <w:i/>
          <w:sz w:val="22"/>
          <w:szCs w:val="22"/>
        </w:rPr>
        <w:t>1.3 Development of Tier 2 activity data for Mauritius’s land transport sector (road, Metro), augmented by gender and socio-economic usage data</w:t>
      </w:r>
    </w:p>
    <w:p w14:paraId="4D0A229A" w14:textId="77777777" w:rsidR="0010661C" w:rsidRDefault="0010661C" w:rsidP="0010661C">
      <w:pPr>
        <w:ind w:left="-426"/>
        <w:rPr>
          <w:sz w:val="22"/>
          <w:szCs w:val="22"/>
        </w:rPr>
      </w:pPr>
    </w:p>
    <w:p w14:paraId="18DE507B" w14:textId="77777777" w:rsidR="0010661C" w:rsidRDefault="0010661C" w:rsidP="0010661C">
      <w:pPr>
        <w:ind w:left="-426"/>
        <w:jc w:val="both"/>
        <w:rPr>
          <w:sz w:val="22"/>
          <w:szCs w:val="22"/>
        </w:rPr>
      </w:pPr>
      <w:r>
        <w:rPr>
          <w:sz w:val="22"/>
          <w:szCs w:val="20"/>
        </w:rPr>
        <w:t xml:space="preserve">Mauritius has a well-developed road network system of 2,275 km, of which 99 km are motorways. The number of vehicles is known to be increasing by 5% per year (and more for certain vehicle classes – 9%/year for private cars and 12%/year for motorbikes, for example), and the motorisation rate – expressed in terms of vehicles per thousand people – increased by 38% between 2006-15. While the </w:t>
      </w:r>
      <w:r>
        <w:rPr>
          <w:sz w:val="22"/>
          <w:szCs w:val="22"/>
        </w:rPr>
        <w:t>National Transport Authority (NTA) maintains detailed digital records of vehicle numbers, types and characteristics, there is considerably less information available about vehicle usage – journey frequencies, durations, average speeds and occupancy rates – that, in conjunction with the fuel emission factor (to be addressed under Output 1.1), determine GHG emissions from the land transport sector. The 2017 national GHG inventory used a top-down approach to estimate Transport sub-sector emissions, using the aggregate sectoral fuel consumption statistics published by Statistics Mauritius in conjunction with assumptions about vehicle usage. However, the survey information that informed those assumptions suffers from a number of deficiencies, notably its dated (in some case decade-old) provenance, its bias towards the bus fleet (which accounts for just 7% of Mauritian vehicles but for which detailed activity data is available) and, importantly, the fact that it does not capture the impact of the soon-to-be-opened (September 2019) Metro Express system which, as Mauritius’s only railway and serving Mauritius’s capital city, is likely to fundamentally transform driving patterns (modal shift from car to train, modal shift from bus to train, park-and-ride synergies between car and train, etc.).</w:t>
      </w:r>
    </w:p>
    <w:p w14:paraId="23C22CB1" w14:textId="77777777" w:rsidR="0010661C" w:rsidRDefault="0010661C" w:rsidP="0010661C">
      <w:pPr>
        <w:ind w:left="-426"/>
        <w:jc w:val="both"/>
        <w:rPr>
          <w:sz w:val="22"/>
          <w:szCs w:val="22"/>
        </w:rPr>
      </w:pPr>
    </w:p>
    <w:p w14:paraId="6B394A01" w14:textId="54E70513" w:rsidR="0010661C" w:rsidRDefault="0010661C" w:rsidP="0010661C">
      <w:pPr>
        <w:ind w:left="-426"/>
        <w:jc w:val="both"/>
        <w:rPr>
          <w:sz w:val="22"/>
          <w:szCs w:val="22"/>
        </w:rPr>
      </w:pPr>
      <w:r>
        <w:rPr>
          <w:sz w:val="22"/>
          <w:szCs w:val="22"/>
        </w:rPr>
        <w:t>Aside from the obvious GHG MRV benefits of undertaking updated and detailed travel surveys, granular information about journeys, travel times and public transport usage, particularly when combined with socio-economic and demographic data (i.e. information about the passengers themselves – age, gender, disabilities, employment status, etc.), can be invaluable for informing government policy on such diverse matters as infrastructure investment (road enlargement, bridge-building, etc.), planning bus routes</w:t>
      </w:r>
      <w:r w:rsidR="007D25C6">
        <w:rPr>
          <w:sz w:val="22"/>
          <w:szCs w:val="22"/>
        </w:rPr>
        <w:t>,</w:t>
      </w:r>
      <w:r>
        <w:rPr>
          <w:sz w:val="22"/>
          <w:szCs w:val="22"/>
        </w:rPr>
        <w:t xml:space="preserve"> and calibrating fares and fare subsidies for public transport users. The GEF project will therefore assist the NTA to undertake a systematic survey programme to generate a detailed set of transport activity data that will enable the use of a Tier 2 estimation approach in the Transport sub-sector. Because the incremental cost of including socio-economic</w:t>
      </w:r>
      <w:r w:rsidR="00AB751C">
        <w:rPr>
          <w:sz w:val="22"/>
          <w:szCs w:val="22"/>
        </w:rPr>
        <w:t>, gender</w:t>
      </w:r>
      <w:r>
        <w:rPr>
          <w:sz w:val="22"/>
          <w:szCs w:val="22"/>
        </w:rPr>
        <w:t xml:space="preserve"> and demographic data in such surveys is negligible, such data will also be collected for public policy purposes. During project preparation (PPG), the design and modalities of the systematic survey programme will be determined. At this stage, it is envisaged that traditional questionnaire surveys, road-count censuses and GIS analysis will be augmented by more cutting-edge approaches, potentially the use of volunteers’ (vehicle owners, bus passengers, Metro Express users) mobile phones as journey tracking devices. </w:t>
      </w:r>
    </w:p>
    <w:p w14:paraId="177FF292" w14:textId="22898A5B" w:rsidR="0010661C" w:rsidRDefault="0010661C" w:rsidP="00114D4F">
      <w:pPr>
        <w:ind w:left="-426"/>
        <w:jc w:val="both"/>
        <w:rPr>
          <w:rFonts w:cstheme="minorHAnsi"/>
          <w:sz w:val="22"/>
          <w:szCs w:val="22"/>
        </w:rPr>
      </w:pPr>
    </w:p>
    <w:p w14:paraId="29ADEBC4" w14:textId="77777777" w:rsidR="00AE7530" w:rsidRPr="004E6665" w:rsidRDefault="00AE7530" w:rsidP="00AE7530">
      <w:pPr>
        <w:ind w:left="-426"/>
        <w:rPr>
          <w:b/>
          <w:i/>
          <w:sz w:val="22"/>
          <w:szCs w:val="22"/>
        </w:rPr>
      </w:pPr>
      <w:r w:rsidRPr="004E6665">
        <w:rPr>
          <w:b/>
          <w:i/>
          <w:sz w:val="22"/>
          <w:szCs w:val="22"/>
        </w:rPr>
        <w:t>1.4 Development of Tier 2 enteric fermentation emission factors and model for livestock</w:t>
      </w:r>
    </w:p>
    <w:p w14:paraId="103A87B6" w14:textId="77777777" w:rsidR="00AE7530" w:rsidRDefault="00AE7530" w:rsidP="00AE7530">
      <w:pPr>
        <w:ind w:left="-426"/>
        <w:rPr>
          <w:sz w:val="22"/>
          <w:szCs w:val="22"/>
        </w:rPr>
      </w:pPr>
    </w:p>
    <w:p w14:paraId="30750BDD" w14:textId="77777777" w:rsidR="00AE7530" w:rsidRDefault="00AE7530" w:rsidP="00AE7530">
      <w:pPr>
        <w:ind w:left="-426"/>
        <w:jc w:val="both"/>
        <w:rPr>
          <w:sz w:val="22"/>
          <w:szCs w:val="22"/>
        </w:rPr>
      </w:pPr>
      <w:r>
        <w:rPr>
          <w:sz w:val="22"/>
          <w:szCs w:val="22"/>
        </w:rPr>
        <w:t>In principle, there are more than 80 emission factors for the livestock sector that pertain to CH</w:t>
      </w:r>
      <w:r w:rsidRPr="00DB1EA8">
        <w:rPr>
          <w:sz w:val="22"/>
          <w:szCs w:val="22"/>
          <w:vertAlign w:val="subscript"/>
        </w:rPr>
        <w:t>4</w:t>
      </w:r>
      <w:r>
        <w:rPr>
          <w:sz w:val="22"/>
          <w:szCs w:val="22"/>
        </w:rPr>
        <w:t xml:space="preserve"> from enteric fermentation, CH</w:t>
      </w:r>
      <w:r w:rsidRPr="00DB1EA8">
        <w:rPr>
          <w:sz w:val="22"/>
          <w:szCs w:val="22"/>
          <w:vertAlign w:val="subscript"/>
        </w:rPr>
        <w:t>4</w:t>
      </w:r>
      <w:r>
        <w:rPr>
          <w:sz w:val="22"/>
          <w:szCs w:val="22"/>
        </w:rPr>
        <w:t xml:space="preserve"> from manure management systems and N</w:t>
      </w:r>
      <w:r w:rsidRPr="00DB1EA8">
        <w:rPr>
          <w:sz w:val="22"/>
          <w:szCs w:val="22"/>
          <w:vertAlign w:val="subscript"/>
        </w:rPr>
        <w:t>2</w:t>
      </w:r>
      <w:r>
        <w:rPr>
          <w:sz w:val="22"/>
          <w:szCs w:val="22"/>
        </w:rPr>
        <w:t>O from manure management from a range of livestock – dairy cows, sheep, goats, horses, pigs, chickens, etc. In Mauritius, however, enteric fermentation accounts for approximately 60% of livestock emissions and ruminants (cattle, deer, goats, sheep) account for 75% of these enteric emissions, with cattle alone accounting for 37% of enteric emissions. Enteric fermentation emission factors for cattle vary considerably according to breed, region and feeding regime. The IPCC Tier 1 enteric fermentation emission factor for North American dairy cows (128 kg CH</w:t>
      </w:r>
      <w:r w:rsidRPr="00D31E64">
        <w:rPr>
          <w:sz w:val="22"/>
          <w:szCs w:val="22"/>
          <w:vertAlign w:val="subscript"/>
        </w:rPr>
        <w:t>4</w:t>
      </w:r>
      <w:r>
        <w:rPr>
          <w:sz w:val="22"/>
          <w:szCs w:val="22"/>
        </w:rPr>
        <w:t>/head/year) is, for example, 64% higher than the equivalent emission factor for African and Middle Eastern cows. In its national GHG inventory, Mauritius uses the Tier 1 African and Middle Eastern emission factor. However, the Mauritian cattle production system differs considerably from that of the broader region (inasmuch as a single ‘African’ system can be said to exist anyway) – for instance, in the preponderance of the Friesen-Creole breed and in the unique molasses/bagasse/straw feed that is given to cattle (the raw materials being by-products of the local sugar industry). The actual emissions produced by Mauritian cattle can, as a consequence, be expected to deviate significantly from the generic IPCC emission factor.</w:t>
      </w:r>
    </w:p>
    <w:p w14:paraId="1554E059" w14:textId="77777777" w:rsidR="00AE7530" w:rsidRDefault="00AE7530" w:rsidP="00AE7530">
      <w:pPr>
        <w:ind w:left="-426"/>
        <w:jc w:val="both"/>
        <w:rPr>
          <w:sz w:val="22"/>
          <w:szCs w:val="22"/>
        </w:rPr>
      </w:pPr>
    </w:p>
    <w:p w14:paraId="742F7F9C" w14:textId="77777777" w:rsidR="00AE7530" w:rsidRDefault="00AE7530" w:rsidP="00AE7530">
      <w:pPr>
        <w:ind w:left="-426"/>
        <w:jc w:val="both"/>
        <w:rPr>
          <w:sz w:val="22"/>
          <w:szCs w:val="22"/>
        </w:rPr>
      </w:pPr>
      <w:r>
        <w:rPr>
          <w:sz w:val="22"/>
          <w:szCs w:val="22"/>
        </w:rPr>
        <w:t xml:space="preserve">Although no research work has been undertaken to date to determine a local enteric fermentation emission factor, the </w:t>
      </w:r>
      <w:r w:rsidRPr="00DD4416">
        <w:rPr>
          <w:sz w:val="22"/>
          <w:szCs w:val="22"/>
        </w:rPr>
        <w:t>Food and Agricultural Research and Extension Institute</w:t>
      </w:r>
      <w:r>
        <w:rPr>
          <w:sz w:val="22"/>
          <w:szCs w:val="22"/>
        </w:rPr>
        <w:t xml:space="preserve"> (FAREI), as the lead entity on the AFOLU Sub-TWG of the last national GHG inventory, is well aware of the current deficiencies in estimating livestock emissions and has expressed considerable interest in developing a Tier 2 factor. The GEF project will therefore assist FAREI in developing at least one Tier 2 livestock (dairy cow) enteric fermentation factor (i.e. a factor for converting the gross energy in cows’ diet to methane), and potentially more than one if this is deemed useful (e.g. if statistical analysis reveals significant differences in emissions between cattle age-classes) and is possible given budgetary and time constraints. To estimate the emission factor(s), an empirically-calibrated statistical model will be constructed that evaluates the relationships between feed input characteristics (composition, digestibility, etc.), animal characteristics (metabolic energy requirements, lactation, locomotion, mass, milk production, etc.) and methane production. This model will be made freely available to inform future academic work in Mauritius and the development of emission factors elsewhere. The model will also be used by FAREI – outside of the framework of the GEF project – to develop cattle feed methane scenarios (i.e. scenarios involving different compositions and amounts of feed that lead to varying levels of methane emissions), so as to inform the Strategic Plan of the Ministry of Agro-Industry and Food Security, which includes an item concerning the reduction of CH</w:t>
      </w:r>
      <w:r w:rsidRPr="008255E3">
        <w:rPr>
          <w:sz w:val="22"/>
          <w:szCs w:val="22"/>
          <w:vertAlign w:val="subscript"/>
        </w:rPr>
        <w:t>4</w:t>
      </w:r>
      <w:r>
        <w:rPr>
          <w:sz w:val="22"/>
          <w:szCs w:val="22"/>
        </w:rPr>
        <w:t xml:space="preserve"> from ruminant feeding regimes.</w:t>
      </w:r>
    </w:p>
    <w:p w14:paraId="1DEC79DA" w14:textId="140B50FA" w:rsidR="0010661C" w:rsidRDefault="0010661C" w:rsidP="00114D4F">
      <w:pPr>
        <w:ind w:left="-426"/>
        <w:jc w:val="both"/>
        <w:rPr>
          <w:rFonts w:cstheme="minorHAnsi"/>
          <w:sz w:val="22"/>
          <w:szCs w:val="22"/>
        </w:rPr>
      </w:pPr>
    </w:p>
    <w:p w14:paraId="5F06A5BD" w14:textId="225E03F5" w:rsidR="00947B33" w:rsidRPr="004E6665" w:rsidRDefault="00947B33" w:rsidP="00947B33">
      <w:pPr>
        <w:ind w:left="-426"/>
        <w:rPr>
          <w:b/>
          <w:i/>
          <w:sz w:val="22"/>
          <w:szCs w:val="22"/>
        </w:rPr>
      </w:pPr>
      <w:r w:rsidRPr="004E6665">
        <w:rPr>
          <w:b/>
          <w:i/>
          <w:sz w:val="22"/>
          <w:szCs w:val="22"/>
        </w:rPr>
        <w:t>1.5 Development of Tier 2 allometric equations, root-to-shoot ratios</w:t>
      </w:r>
      <w:r w:rsidR="00AC6F81" w:rsidRPr="004E6665">
        <w:rPr>
          <w:b/>
          <w:i/>
          <w:sz w:val="22"/>
          <w:szCs w:val="22"/>
        </w:rPr>
        <w:t xml:space="preserve"> and carbon densities</w:t>
      </w:r>
      <w:r w:rsidRPr="004E6665">
        <w:rPr>
          <w:b/>
          <w:i/>
          <w:sz w:val="22"/>
          <w:szCs w:val="22"/>
        </w:rPr>
        <w:t xml:space="preserve"> for 4 key tree species in the Mauritian context</w:t>
      </w:r>
    </w:p>
    <w:p w14:paraId="112E43D1" w14:textId="39C72E12" w:rsidR="0010661C" w:rsidRDefault="0010661C" w:rsidP="00114D4F">
      <w:pPr>
        <w:ind w:left="-426"/>
        <w:jc w:val="both"/>
        <w:rPr>
          <w:rFonts w:cstheme="minorHAnsi"/>
          <w:sz w:val="22"/>
          <w:szCs w:val="22"/>
        </w:rPr>
      </w:pPr>
    </w:p>
    <w:p w14:paraId="39E74518" w14:textId="623CCB12" w:rsidR="009806F7" w:rsidRDefault="00702031" w:rsidP="00834E3E">
      <w:pPr>
        <w:ind w:left="-426"/>
        <w:jc w:val="both"/>
        <w:rPr>
          <w:rFonts w:cstheme="minorHAnsi"/>
          <w:sz w:val="22"/>
          <w:szCs w:val="22"/>
        </w:rPr>
      </w:pPr>
      <w:r>
        <w:rPr>
          <w:rFonts w:cstheme="minorHAnsi"/>
          <w:sz w:val="22"/>
          <w:szCs w:val="22"/>
        </w:rPr>
        <w:t xml:space="preserve">Carbon stock changes in </w:t>
      </w:r>
      <w:r w:rsidR="00037036">
        <w:rPr>
          <w:rFonts w:cstheme="minorHAnsi"/>
          <w:sz w:val="22"/>
          <w:szCs w:val="22"/>
        </w:rPr>
        <w:t xml:space="preserve">forest </w:t>
      </w:r>
      <w:r>
        <w:rPr>
          <w:rFonts w:cstheme="minorHAnsi"/>
          <w:sz w:val="22"/>
          <w:szCs w:val="22"/>
        </w:rPr>
        <w:t xml:space="preserve">biomass </w:t>
      </w:r>
      <w:r w:rsidR="00037036">
        <w:rPr>
          <w:rFonts w:cstheme="minorHAnsi"/>
          <w:sz w:val="22"/>
          <w:szCs w:val="22"/>
        </w:rPr>
        <w:t xml:space="preserve">are important </w:t>
      </w:r>
      <w:r w:rsidR="00316D1A">
        <w:rPr>
          <w:rFonts w:cstheme="minorHAnsi"/>
          <w:sz w:val="22"/>
          <w:szCs w:val="22"/>
        </w:rPr>
        <w:t>because of</w:t>
      </w:r>
      <w:r w:rsidR="00037036">
        <w:rPr>
          <w:rFonts w:cstheme="minorHAnsi"/>
          <w:sz w:val="22"/>
          <w:szCs w:val="22"/>
        </w:rPr>
        <w:t xml:space="preserve">: (a) the scale of forest cover, which accounts for one-quarter of the country’s land area, and (b) the substantial fluxes that can arise from management and harvesting, natural disturbance, natural mortality and forest regrowth. </w:t>
      </w:r>
      <w:r w:rsidR="001543B9">
        <w:rPr>
          <w:rFonts w:cstheme="minorHAnsi"/>
          <w:sz w:val="22"/>
          <w:szCs w:val="22"/>
        </w:rPr>
        <w:t>Deficiencies in forest activity data are acknowledged in the National GHG Inventory Report and are partially addressed under Output 1.6 (see below). However, there are also considerable uncertainties associated with translating forest inventory data into carbon terms. Growing stock data are available for 6 key tree species (</w:t>
      </w:r>
      <w:r w:rsidR="001543B9" w:rsidRPr="001543B9">
        <w:rPr>
          <w:rFonts w:cstheme="minorHAnsi"/>
          <w:i/>
          <w:sz w:val="22"/>
          <w:szCs w:val="22"/>
        </w:rPr>
        <w:t xml:space="preserve">Pinus </w:t>
      </w:r>
      <w:proofErr w:type="spellStart"/>
      <w:r w:rsidR="001543B9" w:rsidRPr="001543B9">
        <w:rPr>
          <w:rFonts w:cstheme="minorHAnsi"/>
          <w:i/>
          <w:sz w:val="22"/>
          <w:szCs w:val="22"/>
        </w:rPr>
        <w:t>elliottii</w:t>
      </w:r>
      <w:proofErr w:type="spellEnd"/>
      <w:r w:rsidR="001543B9">
        <w:rPr>
          <w:rFonts w:cstheme="minorHAnsi"/>
          <w:sz w:val="22"/>
          <w:szCs w:val="22"/>
        </w:rPr>
        <w:t xml:space="preserve">, </w:t>
      </w:r>
      <w:r w:rsidR="001543B9" w:rsidRPr="001543B9">
        <w:rPr>
          <w:rFonts w:cstheme="minorHAnsi"/>
          <w:i/>
          <w:sz w:val="22"/>
          <w:szCs w:val="22"/>
        </w:rPr>
        <w:t xml:space="preserve">Eucalyptus </w:t>
      </w:r>
      <w:proofErr w:type="spellStart"/>
      <w:r w:rsidR="001543B9" w:rsidRPr="001543B9">
        <w:rPr>
          <w:rFonts w:cstheme="minorHAnsi"/>
          <w:i/>
          <w:sz w:val="22"/>
          <w:szCs w:val="22"/>
        </w:rPr>
        <w:t>sp</w:t>
      </w:r>
      <w:proofErr w:type="spellEnd"/>
      <w:r w:rsidR="001543B9">
        <w:rPr>
          <w:rFonts w:cstheme="minorHAnsi"/>
          <w:sz w:val="22"/>
          <w:szCs w:val="22"/>
        </w:rPr>
        <w:t xml:space="preserve">, </w:t>
      </w:r>
      <w:r w:rsidR="001543B9" w:rsidRPr="001543B9">
        <w:rPr>
          <w:rFonts w:cstheme="minorHAnsi"/>
          <w:i/>
          <w:sz w:val="22"/>
          <w:szCs w:val="22"/>
        </w:rPr>
        <w:t xml:space="preserve">Araucaria </w:t>
      </w:r>
      <w:proofErr w:type="spellStart"/>
      <w:r w:rsidR="001543B9" w:rsidRPr="001543B9">
        <w:rPr>
          <w:rFonts w:cstheme="minorHAnsi"/>
          <w:i/>
          <w:sz w:val="22"/>
          <w:szCs w:val="22"/>
        </w:rPr>
        <w:t>sp</w:t>
      </w:r>
      <w:proofErr w:type="spellEnd"/>
      <w:r w:rsidR="001543B9">
        <w:rPr>
          <w:rFonts w:cstheme="minorHAnsi"/>
          <w:sz w:val="22"/>
          <w:szCs w:val="22"/>
        </w:rPr>
        <w:t xml:space="preserve">, </w:t>
      </w:r>
      <w:r w:rsidR="001543B9" w:rsidRPr="001543B9">
        <w:rPr>
          <w:rFonts w:cstheme="minorHAnsi"/>
          <w:i/>
          <w:sz w:val="22"/>
          <w:szCs w:val="22"/>
        </w:rPr>
        <w:t>Tabebuia pallida</w:t>
      </w:r>
      <w:r w:rsidR="001543B9">
        <w:rPr>
          <w:rFonts w:cstheme="minorHAnsi"/>
          <w:sz w:val="22"/>
          <w:szCs w:val="22"/>
        </w:rPr>
        <w:t xml:space="preserve">, </w:t>
      </w:r>
      <w:r w:rsidR="001543B9" w:rsidRPr="001543B9">
        <w:rPr>
          <w:rFonts w:cstheme="minorHAnsi"/>
          <w:i/>
          <w:sz w:val="22"/>
          <w:szCs w:val="22"/>
        </w:rPr>
        <w:t>Cryptomeria japonica</w:t>
      </w:r>
      <w:r w:rsidR="001543B9">
        <w:rPr>
          <w:rFonts w:cstheme="minorHAnsi"/>
          <w:sz w:val="22"/>
          <w:szCs w:val="22"/>
        </w:rPr>
        <w:t xml:space="preserve"> and </w:t>
      </w:r>
      <w:r w:rsidR="001543B9" w:rsidRPr="001543B9">
        <w:rPr>
          <w:rFonts w:cstheme="minorHAnsi"/>
          <w:i/>
          <w:sz w:val="22"/>
          <w:szCs w:val="22"/>
        </w:rPr>
        <w:t xml:space="preserve">Casuarina </w:t>
      </w:r>
      <w:proofErr w:type="spellStart"/>
      <w:r w:rsidR="001543B9" w:rsidRPr="001543B9">
        <w:rPr>
          <w:rFonts w:cstheme="minorHAnsi"/>
          <w:i/>
          <w:sz w:val="22"/>
          <w:szCs w:val="22"/>
        </w:rPr>
        <w:t>esqisetifolia</w:t>
      </w:r>
      <w:proofErr w:type="spellEnd"/>
      <w:r w:rsidR="001543B9">
        <w:rPr>
          <w:rFonts w:cstheme="minorHAnsi"/>
          <w:sz w:val="22"/>
          <w:szCs w:val="22"/>
        </w:rPr>
        <w:t>)</w:t>
      </w:r>
      <w:r w:rsidR="002A43F0">
        <w:rPr>
          <w:rFonts w:cstheme="minorHAnsi"/>
          <w:sz w:val="22"/>
          <w:szCs w:val="22"/>
        </w:rPr>
        <w:t>, derived from extensive data on tree species, tree heights, diameter-at-breast height (DBH) and tree cover maintained by the Forestry Service for public forests. B</w:t>
      </w:r>
      <w:r w:rsidR="00316D1A">
        <w:rPr>
          <w:rFonts w:cstheme="minorHAnsi"/>
          <w:sz w:val="22"/>
          <w:szCs w:val="22"/>
        </w:rPr>
        <w:t xml:space="preserve">ut the inventory was able to use only IPCC Tier 1 </w:t>
      </w:r>
      <w:r w:rsidR="002A43F0">
        <w:rPr>
          <w:rFonts w:cstheme="minorHAnsi"/>
          <w:sz w:val="22"/>
          <w:szCs w:val="22"/>
        </w:rPr>
        <w:t xml:space="preserve">factors to convert </w:t>
      </w:r>
      <w:r w:rsidR="00A64331">
        <w:rPr>
          <w:rFonts w:cstheme="minorHAnsi"/>
          <w:sz w:val="22"/>
          <w:szCs w:val="22"/>
        </w:rPr>
        <w:t>approximate</w:t>
      </w:r>
      <w:r w:rsidR="002A43F0">
        <w:rPr>
          <w:rFonts w:cstheme="minorHAnsi"/>
          <w:sz w:val="22"/>
          <w:szCs w:val="22"/>
        </w:rPr>
        <w:t xml:space="preserve"> biomass</w:t>
      </w:r>
      <w:r w:rsidR="00A64331">
        <w:rPr>
          <w:rFonts w:cstheme="minorHAnsi"/>
          <w:sz w:val="22"/>
          <w:szCs w:val="22"/>
        </w:rPr>
        <w:t xml:space="preserve"> estimates</w:t>
      </w:r>
      <w:r w:rsidR="002A43F0">
        <w:rPr>
          <w:rFonts w:cstheme="minorHAnsi"/>
          <w:sz w:val="22"/>
          <w:szCs w:val="22"/>
        </w:rPr>
        <w:t xml:space="preserve"> into </w:t>
      </w:r>
      <w:r w:rsidR="00A64331">
        <w:rPr>
          <w:rFonts w:cstheme="minorHAnsi"/>
          <w:sz w:val="22"/>
          <w:szCs w:val="22"/>
        </w:rPr>
        <w:t xml:space="preserve">even more approximate </w:t>
      </w:r>
      <w:r w:rsidR="002A43F0">
        <w:rPr>
          <w:rFonts w:cstheme="minorHAnsi"/>
          <w:sz w:val="22"/>
          <w:szCs w:val="22"/>
        </w:rPr>
        <w:t>carbon</w:t>
      </w:r>
      <w:r w:rsidR="00A64331">
        <w:rPr>
          <w:rFonts w:cstheme="minorHAnsi"/>
          <w:sz w:val="22"/>
          <w:szCs w:val="22"/>
        </w:rPr>
        <w:t xml:space="preserve"> estimates</w:t>
      </w:r>
      <w:r w:rsidR="002A43F0">
        <w:rPr>
          <w:rFonts w:cstheme="minorHAnsi"/>
          <w:sz w:val="22"/>
          <w:szCs w:val="22"/>
        </w:rPr>
        <w:t xml:space="preserve">. </w:t>
      </w:r>
      <w:r w:rsidR="009806F7">
        <w:rPr>
          <w:rFonts w:cstheme="minorHAnsi"/>
          <w:sz w:val="22"/>
          <w:szCs w:val="22"/>
        </w:rPr>
        <w:t>Furthermore, the inventory considered only above-ground biomass, not (typically substantial) below-ground root systems.</w:t>
      </w:r>
    </w:p>
    <w:p w14:paraId="0F79E30A" w14:textId="77777777" w:rsidR="009806F7" w:rsidRDefault="009806F7" w:rsidP="00834E3E">
      <w:pPr>
        <w:ind w:left="-426"/>
        <w:jc w:val="both"/>
        <w:rPr>
          <w:rFonts w:cstheme="minorHAnsi"/>
          <w:sz w:val="22"/>
          <w:szCs w:val="22"/>
        </w:rPr>
      </w:pPr>
    </w:p>
    <w:p w14:paraId="774BAC01" w14:textId="3AE635BB" w:rsidR="00834E3E" w:rsidRDefault="007F5F89" w:rsidP="00834E3E">
      <w:pPr>
        <w:ind w:left="-426"/>
        <w:jc w:val="both"/>
        <w:rPr>
          <w:rStyle w:val="ilfuvd"/>
          <w:sz w:val="22"/>
          <w:szCs w:val="22"/>
        </w:rPr>
      </w:pPr>
      <w:r w:rsidRPr="00F236FF">
        <w:rPr>
          <w:rFonts w:cstheme="minorHAnsi"/>
          <w:sz w:val="22"/>
          <w:szCs w:val="22"/>
        </w:rPr>
        <w:t xml:space="preserve">What is needed </w:t>
      </w:r>
      <w:r w:rsidR="00831CA2" w:rsidRPr="00F236FF">
        <w:rPr>
          <w:rFonts w:cstheme="minorHAnsi"/>
          <w:sz w:val="22"/>
          <w:szCs w:val="22"/>
        </w:rPr>
        <w:t>are</w:t>
      </w:r>
      <w:r w:rsidRPr="00F236FF">
        <w:rPr>
          <w:rFonts w:cstheme="minorHAnsi"/>
          <w:sz w:val="22"/>
          <w:szCs w:val="22"/>
        </w:rPr>
        <w:t xml:space="preserve">: </w:t>
      </w:r>
      <w:r w:rsidR="00F95AEC" w:rsidRPr="00F236FF">
        <w:rPr>
          <w:rFonts w:cstheme="minorHAnsi"/>
          <w:sz w:val="22"/>
          <w:szCs w:val="22"/>
        </w:rPr>
        <w:t xml:space="preserve">(a) </w:t>
      </w:r>
      <w:r w:rsidRPr="00F236FF">
        <w:rPr>
          <w:rFonts w:cstheme="minorHAnsi"/>
          <w:sz w:val="22"/>
          <w:szCs w:val="22"/>
        </w:rPr>
        <w:t xml:space="preserve">nationally-calibrated allometric </w:t>
      </w:r>
      <w:r w:rsidR="00F236FF">
        <w:rPr>
          <w:rFonts w:cstheme="minorHAnsi"/>
          <w:sz w:val="22"/>
          <w:szCs w:val="22"/>
        </w:rPr>
        <w:t xml:space="preserve">(non-linear regression) </w:t>
      </w:r>
      <w:r w:rsidRPr="00F236FF">
        <w:rPr>
          <w:rFonts w:cstheme="minorHAnsi"/>
          <w:sz w:val="22"/>
          <w:szCs w:val="22"/>
        </w:rPr>
        <w:t>equations</w:t>
      </w:r>
      <w:r w:rsidR="00834E3E" w:rsidRPr="00F236FF">
        <w:rPr>
          <w:rFonts w:cstheme="minorHAnsi"/>
          <w:sz w:val="22"/>
          <w:szCs w:val="22"/>
        </w:rPr>
        <w:t xml:space="preserve"> </w:t>
      </w:r>
      <w:r w:rsidR="00834E3E" w:rsidRPr="00F236FF">
        <w:rPr>
          <w:rStyle w:val="ilfuvd"/>
          <w:sz w:val="22"/>
          <w:szCs w:val="22"/>
        </w:rPr>
        <w:t xml:space="preserve">to estimate the biomass </w:t>
      </w:r>
      <w:r w:rsidR="00F236FF">
        <w:rPr>
          <w:rStyle w:val="ilfuvd"/>
          <w:sz w:val="22"/>
          <w:szCs w:val="22"/>
        </w:rPr>
        <w:t xml:space="preserve">in </w:t>
      </w:r>
      <w:r w:rsidR="00834E3E" w:rsidRPr="00F236FF">
        <w:rPr>
          <w:rStyle w:val="ilfuvd"/>
          <w:sz w:val="22"/>
          <w:szCs w:val="22"/>
        </w:rPr>
        <w:t xml:space="preserve">above-ground tree components based on diameter at breast height (DBH) and height data; </w:t>
      </w:r>
      <w:r w:rsidR="00F236FF">
        <w:rPr>
          <w:rStyle w:val="ilfuvd"/>
          <w:sz w:val="22"/>
          <w:szCs w:val="22"/>
        </w:rPr>
        <w:t xml:space="preserve">(b) nationally-calibrated root-to-shoot ratios to estimate below-ground biomass on the basis of above-ground biomass measurements; and (c) nationally-calibrated </w:t>
      </w:r>
      <w:r w:rsidR="00AC6F81">
        <w:rPr>
          <w:rStyle w:val="ilfuvd"/>
          <w:sz w:val="22"/>
          <w:szCs w:val="22"/>
        </w:rPr>
        <w:t>carbon density</w:t>
      </w:r>
      <w:r w:rsidR="00007721">
        <w:rPr>
          <w:rStyle w:val="ilfuvd"/>
          <w:sz w:val="22"/>
          <w:szCs w:val="22"/>
        </w:rPr>
        <w:t xml:space="preserve"> factors for converting biomass estimates into carbon estimates.</w:t>
      </w:r>
      <w:r w:rsidR="00674B9D">
        <w:rPr>
          <w:rStyle w:val="ilfuvd"/>
          <w:sz w:val="22"/>
          <w:szCs w:val="22"/>
        </w:rPr>
        <w:t xml:space="preserve"> The GEF project will support the Forestry Service to develop these elements for 4 key tree species (drawn </w:t>
      </w:r>
      <w:r w:rsidR="00674B9D">
        <w:rPr>
          <w:rStyle w:val="ilfuvd"/>
          <w:sz w:val="22"/>
          <w:szCs w:val="22"/>
        </w:rPr>
        <w:lastRenderedPageBreak/>
        <w:t>from the six species for which growing stock data is available) using a combination of survey plots, destructive testing and laboratory analysis.</w:t>
      </w:r>
      <w:r w:rsidR="00D0741F">
        <w:rPr>
          <w:rStyle w:val="ilfuvd"/>
          <w:sz w:val="22"/>
          <w:szCs w:val="22"/>
        </w:rPr>
        <w:t xml:space="preserve"> Although, for cost reasons, the focus will be on 4 tree species, it is likely that multiple equations and factors will be developed for each species, </w:t>
      </w:r>
      <w:r w:rsidR="00A86D01">
        <w:rPr>
          <w:rStyle w:val="ilfuvd"/>
          <w:sz w:val="22"/>
          <w:szCs w:val="22"/>
        </w:rPr>
        <w:t>to differentiate, for example, between trees growing in the three key ecological zones of Mauritius: wet upland forest, moist forest and dry lowland forest.</w:t>
      </w:r>
      <w:r w:rsidR="009E0152">
        <w:rPr>
          <w:rStyle w:val="ilfuvd"/>
          <w:sz w:val="22"/>
          <w:szCs w:val="22"/>
        </w:rPr>
        <w:t xml:space="preserve"> Future GHG inventories will, as a consequence, benefit from Tier 2 estimation methods in the Forestry sub-sector.</w:t>
      </w:r>
      <w:r w:rsidR="00093892">
        <w:rPr>
          <w:rStyle w:val="ilfuvd"/>
          <w:sz w:val="22"/>
          <w:szCs w:val="22"/>
        </w:rPr>
        <w:t xml:space="preserve"> </w:t>
      </w:r>
      <w:r w:rsidR="00673469">
        <w:rPr>
          <w:rStyle w:val="ilfuvd"/>
          <w:sz w:val="22"/>
          <w:szCs w:val="22"/>
        </w:rPr>
        <w:t>The Forestry Service</w:t>
      </w:r>
      <w:r w:rsidR="00093892">
        <w:rPr>
          <w:rStyle w:val="ilfuvd"/>
          <w:sz w:val="22"/>
          <w:szCs w:val="22"/>
        </w:rPr>
        <w:t xml:space="preserve"> will </w:t>
      </w:r>
      <w:r w:rsidR="00673469">
        <w:rPr>
          <w:rStyle w:val="ilfuvd"/>
          <w:sz w:val="22"/>
          <w:szCs w:val="22"/>
        </w:rPr>
        <w:t xml:space="preserve">also </w:t>
      </w:r>
      <w:r w:rsidR="00093892">
        <w:rPr>
          <w:rStyle w:val="ilfuvd"/>
          <w:sz w:val="22"/>
          <w:szCs w:val="22"/>
        </w:rPr>
        <w:t xml:space="preserve">benefit from </w:t>
      </w:r>
      <w:r w:rsidR="00673469">
        <w:rPr>
          <w:rStyle w:val="ilfuvd"/>
          <w:sz w:val="22"/>
          <w:szCs w:val="22"/>
        </w:rPr>
        <w:t xml:space="preserve">complementary bio-carbon </w:t>
      </w:r>
      <w:r w:rsidR="00093892">
        <w:rPr>
          <w:rStyle w:val="ilfuvd"/>
          <w:sz w:val="22"/>
          <w:szCs w:val="22"/>
        </w:rPr>
        <w:t xml:space="preserve">training </w:t>
      </w:r>
      <w:r w:rsidR="00673469">
        <w:rPr>
          <w:rStyle w:val="ilfuvd"/>
          <w:sz w:val="22"/>
          <w:szCs w:val="22"/>
        </w:rPr>
        <w:t>(e.g. on the FAO software package, EX-ACT) to be</w:t>
      </w:r>
      <w:r w:rsidR="00093892">
        <w:rPr>
          <w:rStyle w:val="ilfuvd"/>
          <w:sz w:val="22"/>
          <w:szCs w:val="22"/>
        </w:rPr>
        <w:t xml:space="preserve"> provided by a UNDP-GEF SLM project (see Table 2).</w:t>
      </w:r>
    </w:p>
    <w:p w14:paraId="2CA8245F" w14:textId="4EBD62FC" w:rsidR="00315F74" w:rsidRDefault="00315F74" w:rsidP="00834E3E">
      <w:pPr>
        <w:ind w:left="-426"/>
        <w:jc w:val="both"/>
        <w:rPr>
          <w:rStyle w:val="ilfuvd"/>
          <w:sz w:val="22"/>
          <w:szCs w:val="22"/>
        </w:rPr>
      </w:pPr>
    </w:p>
    <w:p w14:paraId="528B409A" w14:textId="77777777" w:rsidR="00941C1F" w:rsidRPr="004E6665" w:rsidRDefault="00941C1F" w:rsidP="00834E3E">
      <w:pPr>
        <w:ind w:left="-426"/>
        <w:jc w:val="both"/>
        <w:rPr>
          <w:rStyle w:val="ilfuvd"/>
          <w:b/>
          <w:sz w:val="22"/>
          <w:szCs w:val="22"/>
        </w:rPr>
      </w:pPr>
    </w:p>
    <w:p w14:paraId="06A5525F" w14:textId="77777777" w:rsidR="00315F74" w:rsidRPr="004E6665" w:rsidRDefault="00315F74" w:rsidP="00315F74">
      <w:pPr>
        <w:ind w:left="-426"/>
        <w:jc w:val="both"/>
        <w:rPr>
          <w:b/>
          <w:i/>
          <w:sz w:val="22"/>
          <w:szCs w:val="22"/>
        </w:rPr>
      </w:pPr>
      <w:r w:rsidRPr="004E6665">
        <w:rPr>
          <w:b/>
          <w:i/>
          <w:sz w:val="22"/>
          <w:szCs w:val="22"/>
        </w:rPr>
        <w:t>1.6 Ground-</w:t>
      </w:r>
      <w:proofErr w:type="spellStart"/>
      <w:r w:rsidRPr="004E6665">
        <w:rPr>
          <w:b/>
          <w:i/>
          <w:sz w:val="22"/>
          <w:szCs w:val="22"/>
        </w:rPr>
        <w:t>truthed</w:t>
      </w:r>
      <w:proofErr w:type="spellEnd"/>
      <w:r w:rsidRPr="004E6665">
        <w:rPr>
          <w:b/>
          <w:i/>
          <w:sz w:val="22"/>
          <w:szCs w:val="22"/>
        </w:rPr>
        <w:t xml:space="preserve"> forest inventory of privately-held forestland and non-forest tree cover (e.g. along river banks and roadsides)</w:t>
      </w:r>
    </w:p>
    <w:p w14:paraId="0F55B87E" w14:textId="77777777" w:rsidR="00315F74" w:rsidRDefault="00315F74" w:rsidP="00315F74">
      <w:pPr>
        <w:ind w:left="-426"/>
        <w:jc w:val="both"/>
        <w:rPr>
          <w:sz w:val="22"/>
          <w:szCs w:val="22"/>
        </w:rPr>
      </w:pPr>
    </w:p>
    <w:p w14:paraId="6693732B" w14:textId="77777777" w:rsidR="00315F74" w:rsidRDefault="00315F74" w:rsidP="00315F74">
      <w:pPr>
        <w:ind w:left="-426"/>
        <w:jc w:val="both"/>
        <w:rPr>
          <w:sz w:val="22"/>
          <w:szCs w:val="22"/>
        </w:rPr>
      </w:pPr>
      <w:r>
        <w:rPr>
          <w:sz w:val="22"/>
          <w:szCs w:val="22"/>
        </w:rPr>
        <w:t>There are two types of forest ownership in Mauritius: public and private. Publicly-owned (i.e. State-owned) forest cover is 22,000 ha, accounting for approximately 47% of the total forest area. The Forestry Service is responsible for the management of public forest, and undertakes regular surveys and inventories. Privately-owned forest land covers approximately 25,000 ha, roughly 53% of the total forest area. Only about 6,500 ha of private forestland (including river and mountain reserves) is protected. Public access to private forestland is limited and, because of accessibility and cost constraints, the Forestry Service has not conducted a comprehensive forest inventory of private forest for over a decade. Remote sensing data is available and the capacity of the Forestry Service to use this data in a GIS context (e.g. through the Collect Earth tool that can be used in conjunction with Google Maps) will be strengthened by a separate UNDP-GEF SLM project (see Table 2) – so, data on forest cover and (coarse) data on the types of tree species present in private forest is available and can be analysed. But there is currently no ground-</w:t>
      </w:r>
      <w:proofErr w:type="spellStart"/>
      <w:r>
        <w:rPr>
          <w:sz w:val="22"/>
          <w:szCs w:val="22"/>
        </w:rPr>
        <w:t>truthed</w:t>
      </w:r>
      <w:proofErr w:type="spellEnd"/>
      <w:r>
        <w:rPr>
          <w:sz w:val="22"/>
          <w:szCs w:val="22"/>
        </w:rPr>
        <w:t xml:space="preserve"> data on tree species, nor basic information such as tree heights, diameters and management regimes (rotational periods, use of agro-forestry, etc.).</w:t>
      </w:r>
    </w:p>
    <w:p w14:paraId="41B617B5" w14:textId="77777777" w:rsidR="00315F74" w:rsidRDefault="00315F74" w:rsidP="00315F74">
      <w:pPr>
        <w:ind w:left="-426"/>
        <w:jc w:val="both"/>
        <w:rPr>
          <w:sz w:val="22"/>
          <w:szCs w:val="22"/>
        </w:rPr>
      </w:pPr>
    </w:p>
    <w:p w14:paraId="01B8417E" w14:textId="77777777" w:rsidR="00315F74" w:rsidRDefault="00315F74" w:rsidP="00315F74">
      <w:pPr>
        <w:ind w:left="-426"/>
        <w:jc w:val="both"/>
        <w:rPr>
          <w:sz w:val="22"/>
          <w:szCs w:val="22"/>
        </w:rPr>
      </w:pPr>
      <w:r>
        <w:rPr>
          <w:sz w:val="22"/>
          <w:szCs w:val="22"/>
        </w:rPr>
        <w:t>The GEF project will work with the Forestry Service and Business Mauritius</w:t>
      </w:r>
      <w:r>
        <w:rPr>
          <w:rStyle w:val="FootnoteReference"/>
          <w:i/>
          <w:sz w:val="22"/>
          <w:szCs w:val="22"/>
        </w:rPr>
        <w:footnoteReference w:id="5"/>
      </w:r>
      <w:r>
        <w:rPr>
          <w:sz w:val="22"/>
          <w:szCs w:val="22"/>
        </w:rPr>
        <w:t xml:space="preserve">– which has as members some of the largest land-owners in Mauritius – to develop a systematic programme of site visits and inventories of privately-held forests. During project preparation (PPG), key issues such as securing access and data confidentiality (e.g. relating to commercial timber plantations) will be addressed. It will not be necessary for 100% of privately-held forestland to be visited. As an indicative target (to be firmed up during project preparation), the project will aim to visit forest plantations that, in aggregate, account for at least 50% of privately-held forestland. Target sites will be chosen specifically to sample a broad cross-section of forest-types (indigenous vs. alien species, lowland vs upland, timber plantation vs hunting forest, etc.). For each site visited, data on tree species (including exact geographical coordinates of trees) and tree characteristics will be collected. Tree species data will be cross-referenced against remote sensing imagery. This will enable a spectral reflectance species identification model to be developed, which will, in turn, enable the species composition of </w:t>
      </w:r>
      <w:proofErr w:type="spellStart"/>
      <w:r>
        <w:rPr>
          <w:sz w:val="22"/>
          <w:szCs w:val="22"/>
        </w:rPr>
        <w:t>unsurveyed</w:t>
      </w:r>
      <w:proofErr w:type="spellEnd"/>
      <w:r>
        <w:rPr>
          <w:sz w:val="22"/>
          <w:szCs w:val="22"/>
        </w:rPr>
        <w:t xml:space="preserve"> private forests to be inferred from satellite imagery. The allometric equations and biomass/carbon factors developed under Output 1.5 will be applied to the species data collected under Output 1.6 to improve the accuracy of the national GHG inventory as it pertains to privately-held forestland. A similar approach will also be adopted in relation to non-forest trees, notably those planted along river banks and roadsides and in urban settings. These have hitherto not been included in forest surveys but the Forestry Service believes that, in aggregate, they contribute substantial carbon storage, potentially as much as an additional 4-7% of ‘forest’ sink. </w:t>
      </w:r>
    </w:p>
    <w:p w14:paraId="04F65117" w14:textId="78919932" w:rsidR="00315F74" w:rsidRDefault="00315F74" w:rsidP="00834E3E">
      <w:pPr>
        <w:ind w:left="-426"/>
        <w:jc w:val="both"/>
        <w:rPr>
          <w:rStyle w:val="ilfuvd"/>
          <w:sz w:val="22"/>
          <w:szCs w:val="22"/>
        </w:rPr>
      </w:pPr>
    </w:p>
    <w:p w14:paraId="04AF1C10" w14:textId="4CD43FE5" w:rsidR="00315F74" w:rsidRDefault="00315F74" w:rsidP="00834E3E">
      <w:pPr>
        <w:ind w:left="-426"/>
        <w:jc w:val="both"/>
        <w:rPr>
          <w:rStyle w:val="ilfuvd"/>
          <w:sz w:val="22"/>
          <w:szCs w:val="22"/>
        </w:rPr>
      </w:pPr>
    </w:p>
    <w:p w14:paraId="05A402DF" w14:textId="000ECDDA" w:rsidR="00315F74" w:rsidRDefault="00315F74" w:rsidP="00834E3E">
      <w:pPr>
        <w:ind w:left="-426"/>
        <w:jc w:val="both"/>
        <w:rPr>
          <w:rStyle w:val="ilfuvd"/>
          <w:sz w:val="22"/>
          <w:szCs w:val="22"/>
        </w:rPr>
      </w:pPr>
    </w:p>
    <w:p w14:paraId="52FBD772" w14:textId="2285138C" w:rsidR="00315F74" w:rsidRDefault="00315F74" w:rsidP="00834E3E">
      <w:pPr>
        <w:ind w:left="-426"/>
        <w:jc w:val="both"/>
        <w:rPr>
          <w:rStyle w:val="ilfuvd"/>
          <w:sz w:val="22"/>
          <w:szCs w:val="22"/>
        </w:rPr>
      </w:pPr>
    </w:p>
    <w:p w14:paraId="664BAEE2" w14:textId="008109D1" w:rsidR="00315F74" w:rsidRDefault="00315F74" w:rsidP="00834E3E">
      <w:pPr>
        <w:ind w:left="-426"/>
        <w:jc w:val="both"/>
        <w:rPr>
          <w:rStyle w:val="ilfuvd"/>
          <w:sz w:val="22"/>
          <w:szCs w:val="22"/>
        </w:rPr>
      </w:pPr>
    </w:p>
    <w:p w14:paraId="7162581C" w14:textId="64DB2B6C" w:rsidR="00315F74" w:rsidRDefault="00315F74" w:rsidP="00834E3E">
      <w:pPr>
        <w:ind w:left="-426"/>
        <w:jc w:val="both"/>
        <w:rPr>
          <w:rStyle w:val="ilfuvd"/>
          <w:sz w:val="22"/>
          <w:szCs w:val="22"/>
        </w:rPr>
      </w:pPr>
    </w:p>
    <w:p w14:paraId="471DC05A" w14:textId="5B6908AC" w:rsidR="00315F74" w:rsidRDefault="00315F74" w:rsidP="00834E3E">
      <w:pPr>
        <w:ind w:left="-426"/>
        <w:jc w:val="both"/>
        <w:rPr>
          <w:rStyle w:val="ilfuvd"/>
          <w:sz w:val="22"/>
          <w:szCs w:val="22"/>
        </w:rPr>
      </w:pPr>
    </w:p>
    <w:p w14:paraId="677E8F5D" w14:textId="7D4EDDAA" w:rsidR="00315F74" w:rsidRDefault="00315F74" w:rsidP="00834E3E">
      <w:pPr>
        <w:ind w:left="-426"/>
        <w:jc w:val="both"/>
        <w:rPr>
          <w:rStyle w:val="ilfuvd"/>
          <w:sz w:val="22"/>
          <w:szCs w:val="22"/>
        </w:rPr>
      </w:pPr>
    </w:p>
    <w:p w14:paraId="559ABEC3" w14:textId="2C95305C" w:rsidR="00315F74" w:rsidRDefault="00315F74" w:rsidP="00834E3E">
      <w:pPr>
        <w:ind w:left="-426"/>
        <w:jc w:val="both"/>
        <w:rPr>
          <w:rStyle w:val="ilfuvd"/>
          <w:sz w:val="22"/>
          <w:szCs w:val="22"/>
        </w:rPr>
      </w:pPr>
    </w:p>
    <w:p w14:paraId="726CF403" w14:textId="58DA18F0" w:rsidR="00315F74" w:rsidRDefault="00315F74" w:rsidP="00834E3E">
      <w:pPr>
        <w:ind w:left="-426"/>
        <w:jc w:val="both"/>
        <w:rPr>
          <w:rStyle w:val="ilfuvd"/>
          <w:sz w:val="22"/>
          <w:szCs w:val="22"/>
        </w:rPr>
      </w:pPr>
    </w:p>
    <w:p w14:paraId="41FBA726" w14:textId="6E482F39" w:rsidR="00315F74" w:rsidRDefault="00315F74" w:rsidP="00834E3E">
      <w:pPr>
        <w:ind w:left="-426"/>
        <w:jc w:val="both"/>
        <w:rPr>
          <w:rStyle w:val="ilfuvd"/>
          <w:sz w:val="22"/>
          <w:szCs w:val="22"/>
        </w:rPr>
      </w:pPr>
    </w:p>
    <w:p w14:paraId="6248966A" w14:textId="15BF5254" w:rsidR="00315F74" w:rsidRDefault="00315F74" w:rsidP="00834E3E">
      <w:pPr>
        <w:ind w:left="-426"/>
        <w:jc w:val="both"/>
        <w:rPr>
          <w:rStyle w:val="ilfuvd"/>
          <w:sz w:val="22"/>
          <w:szCs w:val="22"/>
        </w:rPr>
      </w:pPr>
    </w:p>
    <w:p w14:paraId="67C6109E" w14:textId="34786EC4" w:rsidR="00315F74" w:rsidRDefault="00315F74" w:rsidP="00834E3E">
      <w:pPr>
        <w:ind w:left="-426"/>
        <w:jc w:val="both"/>
        <w:rPr>
          <w:rStyle w:val="ilfuvd"/>
          <w:sz w:val="22"/>
          <w:szCs w:val="22"/>
        </w:rPr>
      </w:pPr>
    </w:p>
    <w:p w14:paraId="0B3E283A" w14:textId="6A99F66F" w:rsidR="00315F74" w:rsidRDefault="00315F74" w:rsidP="00834E3E">
      <w:pPr>
        <w:ind w:left="-426"/>
        <w:jc w:val="both"/>
        <w:rPr>
          <w:rStyle w:val="ilfuvd"/>
          <w:sz w:val="22"/>
          <w:szCs w:val="22"/>
        </w:rPr>
      </w:pPr>
    </w:p>
    <w:p w14:paraId="2F8FF776" w14:textId="41153C5D" w:rsidR="00315F74" w:rsidRDefault="00315F74" w:rsidP="00834E3E">
      <w:pPr>
        <w:ind w:left="-426"/>
        <w:jc w:val="both"/>
        <w:rPr>
          <w:rStyle w:val="ilfuvd"/>
          <w:sz w:val="22"/>
          <w:szCs w:val="22"/>
        </w:rPr>
      </w:pPr>
    </w:p>
    <w:p w14:paraId="66B99519" w14:textId="20FC59E0" w:rsidR="00315F74" w:rsidRDefault="00315F74" w:rsidP="00834E3E">
      <w:pPr>
        <w:ind w:left="-426"/>
        <w:jc w:val="both"/>
        <w:rPr>
          <w:rStyle w:val="ilfuvd"/>
          <w:sz w:val="22"/>
          <w:szCs w:val="22"/>
        </w:rPr>
      </w:pPr>
    </w:p>
    <w:p w14:paraId="0C10A192" w14:textId="7513248B" w:rsidR="00042D7F" w:rsidRDefault="00042D7F" w:rsidP="00834E3E">
      <w:pPr>
        <w:ind w:left="-426"/>
        <w:jc w:val="both"/>
        <w:rPr>
          <w:rStyle w:val="ilfuvd"/>
          <w:sz w:val="22"/>
          <w:szCs w:val="22"/>
        </w:rPr>
      </w:pPr>
    </w:p>
    <w:p w14:paraId="7A6DE5C6" w14:textId="6514D1BE" w:rsidR="00042D7F" w:rsidRDefault="00042D7F" w:rsidP="00834E3E">
      <w:pPr>
        <w:ind w:left="-426"/>
        <w:jc w:val="both"/>
        <w:rPr>
          <w:rStyle w:val="ilfuvd"/>
          <w:sz w:val="22"/>
          <w:szCs w:val="22"/>
        </w:rPr>
      </w:pPr>
    </w:p>
    <w:p w14:paraId="0908763E" w14:textId="77777777" w:rsidR="001E04CF" w:rsidRPr="001E04CF" w:rsidRDefault="001E04CF" w:rsidP="00114D4F">
      <w:pPr>
        <w:ind w:left="-426"/>
        <w:rPr>
          <w:sz w:val="22"/>
          <w:szCs w:val="22"/>
          <w:u w:val="single"/>
        </w:rPr>
      </w:pPr>
      <w:r w:rsidRPr="001E04CF">
        <w:rPr>
          <w:sz w:val="22"/>
          <w:szCs w:val="22"/>
          <w:u w:val="single"/>
        </w:rPr>
        <w:t>Figure 1: Problem Tree</w:t>
      </w:r>
    </w:p>
    <w:p w14:paraId="24ACF122" w14:textId="77777777" w:rsidR="004274CD" w:rsidRDefault="001E04CF" w:rsidP="001E04CF">
      <w:pPr>
        <w:ind w:left="-426"/>
        <w:jc w:val="center"/>
        <w:rPr>
          <w:i/>
          <w:sz w:val="22"/>
          <w:szCs w:val="22"/>
        </w:rPr>
      </w:pPr>
      <w:r>
        <w:rPr>
          <w:i/>
          <w:noProof/>
          <w:sz w:val="22"/>
          <w:szCs w:val="22"/>
          <w:lang w:val="en-US"/>
        </w:rPr>
        <w:drawing>
          <wp:inline distT="0" distB="0" distL="0" distR="0" wp14:anchorId="042C32A0" wp14:editId="2E9ED295">
            <wp:extent cx="3352800" cy="376626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blem tree.jpg"/>
                    <pic:cNvPicPr/>
                  </pic:nvPicPr>
                  <pic:blipFill>
                    <a:blip r:embed="rId12">
                      <a:extLst>
                        <a:ext uri="{28A0092B-C50C-407E-A947-70E740481C1C}">
                          <a14:useLocalDpi xmlns:a14="http://schemas.microsoft.com/office/drawing/2010/main" val="0"/>
                        </a:ext>
                      </a:extLst>
                    </a:blip>
                    <a:stretch>
                      <a:fillRect/>
                    </a:stretch>
                  </pic:blipFill>
                  <pic:spPr>
                    <a:xfrm>
                      <a:off x="0" y="0"/>
                      <a:ext cx="3356469" cy="3770383"/>
                    </a:xfrm>
                    <a:prstGeom prst="rect">
                      <a:avLst/>
                    </a:prstGeom>
                  </pic:spPr>
                </pic:pic>
              </a:graphicData>
            </a:graphic>
          </wp:inline>
        </w:drawing>
      </w:r>
    </w:p>
    <w:p w14:paraId="19AB5934" w14:textId="77777777" w:rsidR="004274CD" w:rsidRDefault="004274CD" w:rsidP="00114D4F">
      <w:pPr>
        <w:ind w:left="-426"/>
        <w:rPr>
          <w:i/>
          <w:sz w:val="22"/>
          <w:szCs w:val="22"/>
        </w:rPr>
      </w:pPr>
    </w:p>
    <w:p w14:paraId="0F7DE0C9" w14:textId="56599298" w:rsidR="001E04CF" w:rsidRDefault="001E04CF" w:rsidP="00114D4F">
      <w:pPr>
        <w:ind w:left="-426"/>
        <w:rPr>
          <w:i/>
          <w:sz w:val="22"/>
          <w:szCs w:val="22"/>
        </w:rPr>
      </w:pPr>
      <w:r w:rsidRPr="001E04CF">
        <w:rPr>
          <w:sz w:val="22"/>
          <w:szCs w:val="22"/>
          <w:u w:val="single"/>
        </w:rPr>
        <w:t>Figure 2: Solution Tree</w:t>
      </w:r>
    </w:p>
    <w:p w14:paraId="6B2528C1" w14:textId="77777777" w:rsidR="004274CD" w:rsidRDefault="001E04CF" w:rsidP="001E04CF">
      <w:pPr>
        <w:ind w:left="-426"/>
        <w:jc w:val="center"/>
        <w:rPr>
          <w:i/>
          <w:sz w:val="22"/>
          <w:szCs w:val="22"/>
        </w:rPr>
      </w:pPr>
      <w:r>
        <w:rPr>
          <w:i/>
          <w:noProof/>
          <w:sz w:val="22"/>
          <w:szCs w:val="22"/>
          <w:lang w:val="en-US"/>
        </w:rPr>
        <w:lastRenderedPageBreak/>
        <w:drawing>
          <wp:inline distT="0" distB="0" distL="0" distR="0" wp14:anchorId="1E016949" wp14:editId="3730D01D">
            <wp:extent cx="3327400" cy="40659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jective tree.jpg"/>
                    <pic:cNvPicPr/>
                  </pic:nvPicPr>
                  <pic:blipFill>
                    <a:blip r:embed="rId13">
                      <a:extLst>
                        <a:ext uri="{28A0092B-C50C-407E-A947-70E740481C1C}">
                          <a14:useLocalDpi xmlns:a14="http://schemas.microsoft.com/office/drawing/2010/main" val="0"/>
                        </a:ext>
                      </a:extLst>
                    </a:blip>
                    <a:stretch>
                      <a:fillRect/>
                    </a:stretch>
                  </pic:blipFill>
                  <pic:spPr>
                    <a:xfrm>
                      <a:off x="0" y="0"/>
                      <a:ext cx="3330013" cy="4069186"/>
                    </a:xfrm>
                    <a:prstGeom prst="rect">
                      <a:avLst/>
                    </a:prstGeom>
                  </pic:spPr>
                </pic:pic>
              </a:graphicData>
            </a:graphic>
          </wp:inline>
        </w:drawing>
      </w:r>
    </w:p>
    <w:p w14:paraId="755179D1" w14:textId="77777777" w:rsidR="00114D4F" w:rsidRDefault="00114D4F" w:rsidP="00114D4F">
      <w:pPr>
        <w:ind w:left="-426"/>
        <w:jc w:val="both"/>
        <w:rPr>
          <w:sz w:val="22"/>
          <w:szCs w:val="22"/>
        </w:rPr>
      </w:pPr>
    </w:p>
    <w:p w14:paraId="51BB487A" w14:textId="77777777" w:rsidR="00114D4F" w:rsidRPr="004E6665" w:rsidRDefault="00114D4F" w:rsidP="00114D4F">
      <w:pPr>
        <w:ind w:left="-426"/>
        <w:jc w:val="both"/>
        <w:rPr>
          <w:b/>
          <w:color w:val="000000"/>
          <w:sz w:val="22"/>
          <w:szCs w:val="22"/>
          <w:u w:val="single"/>
        </w:rPr>
      </w:pPr>
      <w:r w:rsidRPr="004E6665">
        <w:rPr>
          <w:b/>
          <w:sz w:val="22"/>
          <w:szCs w:val="22"/>
          <w:u w:val="single"/>
        </w:rPr>
        <w:t xml:space="preserve">Component 2: </w:t>
      </w:r>
      <w:r w:rsidRPr="004E6665">
        <w:rPr>
          <w:b/>
          <w:color w:val="000000"/>
          <w:sz w:val="22"/>
          <w:szCs w:val="22"/>
          <w:u w:val="single"/>
        </w:rPr>
        <w:t>Strengthening the national greenhouse gas inventory process</w:t>
      </w:r>
    </w:p>
    <w:p w14:paraId="18D84C69" w14:textId="208DB8AE" w:rsidR="00114D4F" w:rsidRDefault="00114D4F" w:rsidP="00114D4F">
      <w:pPr>
        <w:ind w:left="-426"/>
        <w:jc w:val="both"/>
        <w:rPr>
          <w:i/>
          <w:color w:val="000000"/>
          <w:sz w:val="22"/>
          <w:szCs w:val="22"/>
        </w:rPr>
      </w:pPr>
      <w:r>
        <w:rPr>
          <w:i/>
          <w:color w:val="000000"/>
          <w:sz w:val="22"/>
          <w:szCs w:val="22"/>
        </w:rPr>
        <w:t>GEF</w:t>
      </w:r>
      <w:r w:rsidRPr="000D27A2">
        <w:rPr>
          <w:i/>
          <w:color w:val="000000"/>
          <w:sz w:val="22"/>
          <w:szCs w:val="22"/>
        </w:rPr>
        <w:t xml:space="preserve"> budget: USD </w:t>
      </w:r>
      <w:r w:rsidR="001A1972">
        <w:rPr>
          <w:i/>
          <w:color w:val="000000"/>
          <w:sz w:val="22"/>
          <w:szCs w:val="22"/>
        </w:rPr>
        <w:t>100,000</w:t>
      </w:r>
    </w:p>
    <w:p w14:paraId="3CF814B0" w14:textId="4C410A4C" w:rsidR="00114D4F" w:rsidRDefault="00114D4F" w:rsidP="00114D4F">
      <w:pPr>
        <w:ind w:left="-426"/>
        <w:jc w:val="both"/>
        <w:rPr>
          <w:i/>
          <w:sz w:val="22"/>
          <w:szCs w:val="22"/>
        </w:rPr>
      </w:pPr>
      <w:r w:rsidRPr="000D27A2">
        <w:rPr>
          <w:i/>
          <w:color w:val="000000"/>
          <w:sz w:val="22"/>
          <w:szCs w:val="22"/>
        </w:rPr>
        <w:t xml:space="preserve">Co-finance: USD </w:t>
      </w:r>
      <w:r w:rsidR="001A1972">
        <w:rPr>
          <w:i/>
          <w:color w:val="000000"/>
          <w:sz w:val="22"/>
          <w:szCs w:val="22"/>
        </w:rPr>
        <w:t>45,000</w:t>
      </w:r>
      <w:r w:rsidRPr="000D27A2">
        <w:rPr>
          <w:i/>
          <w:color w:val="000000"/>
          <w:sz w:val="22"/>
          <w:szCs w:val="22"/>
        </w:rPr>
        <w:t xml:space="preserve"> sourced from </w:t>
      </w:r>
      <w:proofErr w:type="spellStart"/>
      <w:r w:rsidR="009D310B" w:rsidRPr="000D27A2">
        <w:rPr>
          <w:i/>
          <w:sz w:val="22"/>
          <w:szCs w:val="22"/>
        </w:rPr>
        <w:t>Mo</w:t>
      </w:r>
      <w:r w:rsidR="009D310B">
        <w:rPr>
          <w:i/>
          <w:sz w:val="22"/>
          <w:szCs w:val="22"/>
        </w:rPr>
        <w:t>SSNSESD</w:t>
      </w:r>
      <w:proofErr w:type="spellEnd"/>
    </w:p>
    <w:p w14:paraId="143E74CA" w14:textId="77777777" w:rsidR="00114D4F" w:rsidRPr="00FE7B91" w:rsidRDefault="00114D4F" w:rsidP="00114D4F">
      <w:pPr>
        <w:ind w:left="-426"/>
        <w:jc w:val="both"/>
        <w:rPr>
          <w:sz w:val="22"/>
          <w:szCs w:val="22"/>
        </w:rPr>
      </w:pPr>
    </w:p>
    <w:p w14:paraId="3B131C7C" w14:textId="49327F61" w:rsidR="00114D4F" w:rsidRPr="004E6665" w:rsidRDefault="00114D4F" w:rsidP="00D20748">
      <w:pPr>
        <w:ind w:left="-426"/>
        <w:jc w:val="both"/>
        <w:rPr>
          <w:b/>
          <w:i/>
          <w:sz w:val="22"/>
          <w:szCs w:val="22"/>
        </w:rPr>
      </w:pPr>
      <w:r w:rsidRPr="004E6665">
        <w:rPr>
          <w:b/>
          <w:i/>
          <w:sz w:val="22"/>
          <w:szCs w:val="22"/>
        </w:rPr>
        <w:t xml:space="preserve">2.1 </w:t>
      </w:r>
      <w:r w:rsidR="00336AFD" w:rsidRPr="004E6665">
        <w:rPr>
          <w:b/>
          <w:i/>
          <w:sz w:val="22"/>
          <w:szCs w:val="22"/>
        </w:rPr>
        <w:t>Implemented government roadmap for</w:t>
      </w:r>
      <w:r w:rsidRPr="004E6665">
        <w:rPr>
          <w:b/>
          <w:i/>
          <w:sz w:val="22"/>
          <w:szCs w:val="22"/>
        </w:rPr>
        <w:t xml:space="preserve"> a permanent MRV structure, </w:t>
      </w:r>
      <w:r w:rsidR="00336AFD" w:rsidRPr="004E6665">
        <w:rPr>
          <w:b/>
          <w:i/>
          <w:sz w:val="22"/>
          <w:szCs w:val="22"/>
        </w:rPr>
        <w:t>including</w:t>
      </w:r>
      <w:r w:rsidRPr="004E6665">
        <w:rPr>
          <w:b/>
          <w:i/>
          <w:sz w:val="22"/>
          <w:szCs w:val="22"/>
        </w:rPr>
        <w:t xml:space="preserve"> firm government financing and institutional commitments</w:t>
      </w:r>
    </w:p>
    <w:p w14:paraId="6738963D" w14:textId="2994D35F" w:rsidR="00114D4F" w:rsidRDefault="00114D4F" w:rsidP="00D20748">
      <w:pPr>
        <w:ind w:left="-426"/>
        <w:jc w:val="both"/>
        <w:rPr>
          <w:sz w:val="22"/>
          <w:szCs w:val="22"/>
        </w:rPr>
      </w:pPr>
    </w:p>
    <w:p w14:paraId="4D7DB3C2" w14:textId="58210D08" w:rsidR="008C73CC" w:rsidRDefault="00031CD6" w:rsidP="00D20748">
      <w:pPr>
        <w:ind w:left="-426"/>
        <w:jc w:val="both"/>
        <w:rPr>
          <w:sz w:val="22"/>
          <w:szCs w:val="22"/>
        </w:rPr>
      </w:pPr>
      <w:r>
        <w:rPr>
          <w:sz w:val="22"/>
          <w:szCs w:val="22"/>
        </w:rPr>
        <w:t xml:space="preserve">As outlined in the Third National Communication and the National GHG Inventory Report, the government is </w:t>
      </w:r>
      <w:r w:rsidR="005E2386">
        <w:rPr>
          <w:sz w:val="22"/>
          <w:szCs w:val="22"/>
        </w:rPr>
        <w:t xml:space="preserve">considering a number of options to strengthen the institutional framework for climate change in Mauritius. This reflects acknowledgement at the highest levels of government that climate change is becoming an increasingly important policy matter, both domestically and internationally, as well as the fact that the difficulties currently being encountered in data collection and processing are likely to </w:t>
      </w:r>
      <w:r w:rsidR="0076683B">
        <w:rPr>
          <w:sz w:val="22"/>
          <w:szCs w:val="22"/>
        </w:rPr>
        <w:t>grow</w:t>
      </w:r>
      <w:r w:rsidR="005E2386">
        <w:rPr>
          <w:sz w:val="22"/>
          <w:szCs w:val="22"/>
        </w:rPr>
        <w:t xml:space="preserve"> in the future as </w:t>
      </w:r>
      <w:r w:rsidR="0076683B">
        <w:rPr>
          <w:sz w:val="22"/>
          <w:szCs w:val="22"/>
        </w:rPr>
        <w:t xml:space="preserve">climate </w:t>
      </w:r>
      <w:r w:rsidR="005E2386">
        <w:rPr>
          <w:sz w:val="22"/>
          <w:szCs w:val="22"/>
        </w:rPr>
        <w:t xml:space="preserve">reporting and transparency requirements become more frequent and </w:t>
      </w:r>
      <w:r w:rsidR="0076683B">
        <w:rPr>
          <w:sz w:val="22"/>
          <w:szCs w:val="22"/>
        </w:rPr>
        <w:t xml:space="preserve">more </w:t>
      </w:r>
      <w:r w:rsidR="008667A3">
        <w:rPr>
          <w:sz w:val="22"/>
          <w:szCs w:val="22"/>
        </w:rPr>
        <w:t>detailed</w:t>
      </w:r>
      <w:r w:rsidR="005E2386">
        <w:rPr>
          <w:sz w:val="22"/>
          <w:szCs w:val="22"/>
        </w:rPr>
        <w:t xml:space="preserve">. </w:t>
      </w:r>
      <w:r w:rsidR="0056082A">
        <w:rPr>
          <w:sz w:val="22"/>
          <w:szCs w:val="22"/>
        </w:rPr>
        <w:t xml:space="preserve">Another, potentially complementary, measure being considered </w:t>
      </w:r>
      <w:r w:rsidR="00F4240A">
        <w:rPr>
          <w:sz w:val="22"/>
          <w:szCs w:val="22"/>
        </w:rPr>
        <w:t xml:space="preserve">is to </w:t>
      </w:r>
      <w:r w:rsidR="002A4225">
        <w:rPr>
          <w:sz w:val="22"/>
          <w:szCs w:val="22"/>
        </w:rPr>
        <w:t>include</w:t>
      </w:r>
      <w:r w:rsidR="00F4240A">
        <w:rPr>
          <w:sz w:val="22"/>
          <w:szCs w:val="22"/>
        </w:rPr>
        <w:t xml:space="preserve"> a recurring </w:t>
      </w:r>
      <w:r w:rsidR="001F32B3">
        <w:rPr>
          <w:sz w:val="22"/>
          <w:szCs w:val="22"/>
        </w:rPr>
        <w:t xml:space="preserve">national </w:t>
      </w:r>
      <w:r w:rsidR="00F4240A">
        <w:rPr>
          <w:sz w:val="22"/>
          <w:szCs w:val="22"/>
        </w:rPr>
        <w:t xml:space="preserve">budget line item </w:t>
      </w:r>
      <w:r w:rsidR="002A4225">
        <w:rPr>
          <w:sz w:val="22"/>
          <w:szCs w:val="22"/>
        </w:rPr>
        <w:t xml:space="preserve">to cover the </w:t>
      </w:r>
      <w:r w:rsidR="00F53F28">
        <w:rPr>
          <w:sz w:val="22"/>
          <w:szCs w:val="22"/>
        </w:rPr>
        <w:t xml:space="preserve">costs of continuous MRV activities, including ongoing maintenance and improvement of the national GHG inventory. </w:t>
      </w:r>
      <w:r w:rsidR="00E14C73">
        <w:rPr>
          <w:sz w:val="22"/>
          <w:szCs w:val="22"/>
        </w:rPr>
        <w:t>The MRV roles and responsibilities of new institutions such as MARENA and the Utilit</w:t>
      </w:r>
      <w:r w:rsidR="00912C44">
        <w:rPr>
          <w:sz w:val="22"/>
          <w:szCs w:val="22"/>
        </w:rPr>
        <w:t>ies</w:t>
      </w:r>
      <w:r w:rsidR="00E14C73">
        <w:rPr>
          <w:sz w:val="22"/>
          <w:szCs w:val="22"/>
        </w:rPr>
        <w:t xml:space="preserve"> Regulatory Authority (</w:t>
      </w:r>
      <w:r w:rsidR="00912C44">
        <w:rPr>
          <w:sz w:val="22"/>
          <w:szCs w:val="22"/>
        </w:rPr>
        <w:t xml:space="preserve">both </w:t>
      </w:r>
      <w:r w:rsidR="00E14C73">
        <w:rPr>
          <w:sz w:val="22"/>
          <w:szCs w:val="22"/>
        </w:rPr>
        <w:t xml:space="preserve">established in </w:t>
      </w:r>
      <w:r w:rsidR="00912C44">
        <w:rPr>
          <w:sz w:val="22"/>
          <w:szCs w:val="22"/>
        </w:rPr>
        <w:t>2016</w:t>
      </w:r>
      <w:r w:rsidR="00E14C73">
        <w:rPr>
          <w:sz w:val="22"/>
          <w:szCs w:val="22"/>
        </w:rPr>
        <w:t>) also need to be considered.</w:t>
      </w:r>
    </w:p>
    <w:p w14:paraId="37271EFE" w14:textId="72DCD8E0" w:rsidR="002F03CB" w:rsidRDefault="002F03CB" w:rsidP="00D20748">
      <w:pPr>
        <w:ind w:left="-426"/>
        <w:jc w:val="both"/>
        <w:rPr>
          <w:sz w:val="22"/>
          <w:szCs w:val="22"/>
        </w:rPr>
      </w:pPr>
    </w:p>
    <w:p w14:paraId="5B976709" w14:textId="18375B1F" w:rsidR="00854BCC" w:rsidRDefault="002F03CB" w:rsidP="00D20748">
      <w:pPr>
        <w:ind w:left="-426"/>
        <w:jc w:val="both"/>
        <w:rPr>
          <w:sz w:val="22"/>
          <w:szCs w:val="22"/>
        </w:rPr>
      </w:pPr>
      <w:r>
        <w:rPr>
          <w:sz w:val="22"/>
          <w:szCs w:val="22"/>
        </w:rPr>
        <w:t>During project preparation (PPG), a policy and institutional review will be undertaken</w:t>
      </w:r>
      <w:r w:rsidR="007C778F">
        <w:rPr>
          <w:sz w:val="22"/>
          <w:szCs w:val="22"/>
        </w:rPr>
        <w:t xml:space="preserve"> in conjunction with relevant government bodies to map existing mandates, staffing and budgets as they relate to climate MRV.</w:t>
      </w:r>
      <w:r w:rsidR="00A11EF7">
        <w:rPr>
          <w:sz w:val="22"/>
          <w:szCs w:val="22"/>
        </w:rPr>
        <w:t xml:space="preserve"> This will include current MRV needs (notably, MRV related to GHG emissions – i.e. the national GHG inventory, NCs, BURs, etc.) as well as future needs relating to broader transparency and reporting requirements under the Paris Agreement (</w:t>
      </w:r>
      <w:r w:rsidR="00872680">
        <w:rPr>
          <w:sz w:val="22"/>
          <w:szCs w:val="22"/>
        </w:rPr>
        <w:t xml:space="preserve">mitigation actions, </w:t>
      </w:r>
      <w:r w:rsidR="000D6CE5">
        <w:rPr>
          <w:sz w:val="22"/>
          <w:szCs w:val="22"/>
        </w:rPr>
        <w:t xml:space="preserve">tracking </w:t>
      </w:r>
      <w:r w:rsidR="00872680">
        <w:rPr>
          <w:sz w:val="22"/>
          <w:szCs w:val="22"/>
        </w:rPr>
        <w:t>progress relative to NDC targets, climate impacts and adaptation, technology transfer and capacity building, financial support, etc.).</w:t>
      </w:r>
      <w:r w:rsidR="007C778F">
        <w:rPr>
          <w:sz w:val="22"/>
          <w:szCs w:val="22"/>
        </w:rPr>
        <w:t xml:space="preserve"> On the basis of this review, the </w:t>
      </w:r>
      <w:r w:rsidR="00854BCC">
        <w:rPr>
          <w:sz w:val="22"/>
          <w:szCs w:val="22"/>
        </w:rPr>
        <w:t xml:space="preserve">government will put in place a roadmap of measures to improve the institutional and financing basis of climate MRV in Mauritius, and will proceed to implement this roadmap. </w:t>
      </w:r>
      <w:r w:rsidR="000D6933">
        <w:rPr>
          <w:sz w:val="22"/>
          <w:szCs w:val="22"/>
        </w:rPr>
        <w:t xml:space="preserve">International support will be sought for specific measures as required/relevant, in line </w:t>
      </w:r>
      <w:r w:rsidR="000D6933">
        <w:rPr>
          <w:sz w:val="22"/>
          <w:szCs w:val="22"/>
        </w:rPr>
        <w:lastRenderedPageBreak/>
        <w:t xml:space="preserve">with Article 13 of the Paris Agreement. </w:t>
      </w:r>
      <w:r w:rsidR="00854BCC">
        <w:rPr>
          <w:sz w:val="22"/>
          <w:szCs w:val="22"/>
        </w:rPr>
        <w:t xml:space="preserve">The </w:t>
      </w:r>
      <w:r w:rsidR="007C778F">
        <w:rPr>
          <w:sz w:val="22"/>
          <w:szCs w:val="22"/>
        </w:rPr>
        <w:t xml:space="preserve">GEF project design will incorporate activities </w:t>
      </w:r>
      <w:r w:rsidR="00B16D08">
        <w:rPr>
          <w:sz w:val="22"/>
          <w:szCs w:val="22"/>
        </w:rPr>
        <w:t>to</w:t>
      </w:r>
      <w:r w:rsidR="007C778F">
        <w:rPr>
          <w:sz w:val="22"/>
          <w:szCs w:val="22"/>
        </w:rPr>
        <w:t xml:space="preserve"> </w:t>
      </w:r>
      <w:r w:rsidR="00854BCC">
        <w:rPr>
          <w:sz w:val="22"/>
          <w:szCs w:val="22"/>
        </w:rPr>
        <w:t>support the implementation of this roadmap</w:t>
      </w:r>
      <w:r w:rsidR="00872680">
        <w:rPr>
          <w:sz w:val="22"/>
          <w:szCs w:val="22"/>
        </w:rPr>
        <w:t xml:space="preserve">, with a specific emphasis on measures </w:t>
      </w:r>
      <w:r w:rsidR="00854BCC">
        <w:rPr>
          <w:sz w:val="22"/>
          <w:szCs w:val="22"/>
        </w:rPr>
        <w:t xml:space="preserve">that serve to </w:t>
      </w:r>
      <w:r w:rsidR="007C778F">
        <w:rPr>
          <w:sz w:val="22"/>
          <w:szCs w:val="22"/>
        </w:rPr>
        <w:t>improve the continuity and sustainability of the National Communication/BUR/GHG inventory process</w:t>
      </w:r>
      <w:r w:rsidR="00872680">
        <w:rPr>
          <w:sz w:val="22"/>
          <w:szCs w:val="22"/>
        </w:rPr>
        <w:t>, and will provide a detailed description and justification</w:t>
      </w:r>
      <w:r w:rsidR="00C9650B">
        <w:rPr>
          <w:sz w:val="22"/>
          <w:szCs w:val="22"/>
        </w:rPr>
        <w:t xml:space="preserve"> in the CEO Endorsement Request</w:t>
      </w:r>
      <w:r w:rsidR="00854BCC">
        <w:rPr>
          <w:sz w:val="22"/>
          <w:szCs w:val="22"/>
        </w:rPr>
        <w:t>.</w:t>
      </w:r>
      <w:r w:rsidR="00312666">
        <w:rPr>
          <w:sz w:val="22"/>
          <w:szCs w:val="22"/>
        </w:rPr>
        <w:t xml:space="preserve"> </w:t>
      </w:r>
      <w:r w:rsidR="00B16D08">
        <w:rPr>
          <w:sz w:val="22"/>
          <w:szCs w:val="22"/>
        </w:rPr>
        <w:t xml:space="preserve">Government financing commitments arising from this roadmap will be included as co-finance in the CEO Endorsement Request and will be entirely additional to the USD 670,000 public sector co-finance that is already </w:t>
      </w:r>
      <w:r w:rsidR="00495C7E">
        <w:rPr>
          <w:sz w:val="22"/>
          <w:szCs w:val="22"/>
        </w:rPr>
        <w:t>included</w:t>
      </w:r>
      <w:r w:rsidR="00B16D08">
        <w:rPr>
          <w:sz w:val="22"/>
          <w:szCs w:val="22"/>
        </w:rPr>
        <w:t xml:space="preserve"> at the PIF stage of project development.</w:t>
      </w:r>
    </w:p>
    <w:p w14:paraId="74EF1AE1" w14:textId="77777777" w:rsidR="00114D4F" w:rsidRPr="006B68B9" w:rsidRDefault="00114D4F" w:rsidP="00D20748">
      <w:pPr>
        <w:ind w:left="-426"/>
        <w:jc w:val="both"/>
        <w:rPr>
          <w:sz w:val="22"/>
          <w:szCs w:val="22"/>
        </w:rPr>
      </w:pPr>
    </w:p>
    <w:p w14:paraId="13E72D77" w14:textId="77777777" w:rsidR="00114D4F" w:rsidRPr="004E6665" w:rsidRDefault="00114D4F" w:rsidP="00D20748">
      <w:pPr>
        <w:ind w:left="-426"/>
        <w:jc w:val="both"/>
        <w:rPr>
          <w:b/>
          <w:i/>
          <w:sz w:val="22"/>
          <w:szCs w:val="22"/>
        </w:rPr>
      </w:pPr>
      <w:r w:rsidRPr="004E6665">
        <w:rPr>
          <w:b/>
          <w:i/>
          <w:sz w:val="22"/>
          <w:szCs w:val="22"/>
        </w:rPr>
        <w:t>2.2 Development of an IT-based system to simplify and streamline the inventory data collection process</w:t>
      </w:r>
    </w:p>
    <w:p w14:paraId="26C7F9AF" w14:textId="77777777" w:rsidR="00114D4F" w:rsidRDefault="00114D4F" w:rsidP="00D20748">
      <w:pPr>
        <w:ind w:left="-426"/>
        <w:jc w:val="both"/>
        <w:rPr>
          <w:sz w:val="22"/>
          <w:szCs w:val="22"/>
        </w:rPr>
      </w:pPr>
    </w:p>
    <w:p w14:paraId="04AE8C6C" w14:textId="433A32BB" w:rsidR="0098576E" w:rsidRDefault="00604742" w:rsidP="00604742">
      <w:pPr>
        <w:ind w:left="-426"/>
        <w:jc w:val="both"/>
        <w:rPr>
          <w:rFonts w:cs="Calibri"/>
          <w:sz w:val="22"/>
          <w:szCs w:val="22"/>
        </w:rPr>
      </w:pPr>
      <w:r>
        <w:rPr>
          <w:sz w:val="22"/>
          <w:szCs w:val="22"/>
        </w:rPr>
        <w:t xml:space="preserve">As outlined in Section 1a, </w:t>
      </w:r>
      <w:r w:rsidR="00E94A15">
        <w:rPr>
          <w:sz w:val="22"/>
          <w:szCs w:val="22"/>
        </w:rPr>
        <w:t>t</w:t>
      </w:r>
      <w:r w:rsidRPr="00737402">
        <w:rPr>
          <w:rFonts w:cs="Calibri"/>
          <w:sz w:val="22"/>
          <w:szCs w:val="22"/>
        </w:rPr>
        <w:t xml:space="preserve">o date Mauritius has relied upon a system of temporary, </w:t>
      </w:r>
      <w:r w:rsidRPr="00737402">
        <w:rPr>
          <w:rFonts w:cs="Calibri"/>
          <w:i/>
          <w:sz w:val="22"/>
          <w:szCs w:val="22"/>
        </w:rPr>
        <w:t>ad hoc</w:t>
      </w:r>
      <w:r w:rsidRPr="00737402">
        <w:rPr>
          <w:rFonts w:cs="Calibri"/>
          <w:sz w:val="22"/>
          <w:szCs w:val="22"/>
        </w:rPr>
        <w:t xml:space="preserve"> institutional arrangements to undertake National Communications and their associated inventories, whereby ministries and other institutions have supplied staff members to technical working groups for limited periods of time. </w:t>
      </w:r>
      <w:r w:rsidR="00E94A15">
        <w:rPr>
          <w:rFonts w:cs="Calibri"/>
          <w:sz w:val="22"/>
          <w:szCs w:val="22"/>
        </w:rPr>
        <w:t xml:space="preserve">Capacities vary widely between institutions, with the result that data quantity, data quality and the degree of data processing also vary widely. </w:t>
      </w:r>
    </w:p>
    <w:p w14:paraId="3A1BFA80" w14:textId="77777777" w:rsidR="0098576E" w:rsidRDefault="0098576E" w:rsidP="00604742">
      <w:pPr>
        <w:ind w:left="-426"/>
        <w:jc w:val="both"/>
        <w:rPr>
          <w:rFonts w:cs="Calibri"/>
          <w:sz w:val="22"/>
          <w:szCs w:val="22"/>
        </w:rPr>
      </w:pPr>
    </w:p>
    <w:p w14:paraId="115DB98D" w14:textId="3CECC1FC" w:rsidR="00E94A15" w:rsidRDefault="0098576E" w:rsidP="00604742">
      <w:pPr>
        <w:ind w:left="-426"/>
        <w:jc w:val="both"/>
        <w:rPr>
          <w:rFonts w:cs="Calibri"/>
          <w:sz w:val="22"/>
          <w:szCs w:val="22"/>
        </w:rPr>
      </w:pPr>
      <w:r>
        <w:rPr>
          <w:rFonts w:cs="Calibri"/>
          <w:sz w:val="22"/>
          <w:szCs w:val="22"/>
        </w:rPr>
        <w:t>Although improvements will be made to the institutional structure surrounding MRV (Output 2.1)</w:t>
      </w:r>
      <w:r w:rsidR="00265BA2">
        <w:rPr>
          <w:rFonts w:cs="Calibri"/>
          <w:sz w:val="22"/>
          <w:szCs w:val="22"/>
        </w:rPr>
        <w:t>, the ongoing reliance of CCD upon a range of line ministries and other institutions for inventory data is inevitable and inescapable, as these ministries and institutions typically have the mandates, the data-sets and the sectoral expertise required. Instead, what is needed is a simplified, streamlined process</w:t>
      </w:r>
      <w:r w:rsidR="00155E5C">
        <w:rPr>
          <w:rFonts w:cs="Calibri"/>
          <w:sz w:val="22"/>
          <w:szCs w:val="22"/>
        </w:rPr>
        <w:t xml:space="preserve"> that leverages the data actually available and converts this into the data required for the inventory while minimising the time, cost and analytical burden on the ministries and institutions involved. This need not require a ‘high tech’ solution and, indeed, given the variety of operating systems, software packages, data formats and technological skills deployed across the approximately 50 institutions involved in supplying data to the inventory</w:t>
      </w:r>
      <w:r w:rsidR="00D637DA">
        <w:rPr>
          <w:rFonts w:cs="Calibri"/>
          <w:sz w:val="22"/>
          <w:szCs w:val="22"/>
        </w:rPr>
        <w:t>, a ‘low tech’</w:t>
      </w:r>
      <w:r w:rsidR="007321E1">
        <w:rPr>
          <w:rFonts w:cs="Calibri"/>
          <w:sz w:val="22"/>
          <w:szCs w:val="22"/>
        </w:rPr>
        <w:t>, ‘lowest common denominator’</w:t>
      </w:r>
      <w:r w:rsidR="00D637DA">
        <w:rPr>
          <w:rFonts w:cs="Calibri"/>
          <w:sz w:val="22"/>
          <w:szCs w:val="22"/>
        </w:rPr>
        <w:t xml:space="preserve"> solution is actually preferred. </w:t>
      </w:r>
      <w:r w:rsidR="0044795E">
        <w:rPr>
          <w:rFonts w:cs="Calibri"/>
          <w:sz w:val="22"/>
          <w:szCs w:val="22"/>
        </w:rPr>
        <w:t xml:space="preserve">Accordingly, the GEF project will </w:t>
      </w:r>
      <w:r w:rsidR="00246D4F">
        <w:rPr>
          <w:rFonts w:cs="Calibri"/>
          <w:sz w:val="22"/>
          <w:szCs w:val="22"/>
        </w:rPr>
        <w:t xml:space="preserve">work with CCD, Statistics Mauritius </w:t>
      </w:r>
      <w:r w:rsidR="000F6F70">
        <w:rPr>
          <w:rFonts w:cs="Calibri"/>
          <w:sz w:val="22"/>
          <w:szCs w:val="22"/>
        </w:rPr>
        <w:t xml:space="preserve">and each of the </w:t>
      </w:r>
      <w:r w:rsidR="000F6F70">
        <w:rPr>
          <w:sz w:val="22"/>
          <w:szCs w:val="22"/>
        </w:rPr>
        <w:t>~</w:t>
      </w:r>
      <w:r w:rsidR="000F6F70">
        <w:rPr>
          <w:rFonts w:cs="Calibri"/>
          <w:sz w:val="22"/>
          <w:szCs w:val="22"/>
        </w:rPr>
        <w:t xml:space="preserve">50 data suppliers to develop a bespoke Excel workbook for each data supplier. </w:t>
      </w:r>
      <w:r w:rsidR="0053699C">
        <w:rPr>
          <w:rFonts w:cs="Calibri"/>
          <w:sz w:val="22"/>
          <w:szCs w:val="22"/>
        </w:rPr>
        <w:t xml:space="preserve">CCD has prior, positive, experience developing Excel workbooks for earlier climate mitigation initiatives. </w:t>
      </w:r>
      <w:r w:rsidR="000F6F70">
        <w:rPr>
          <w:rFonts w:cs="Calibri"/>
          <w:sz w:val="22"/>
          <w:szCs w:val="22"/>
        </w:rPr>
        <w:t>Each workbook will be tailor-made to accept the raw data available to each supplier, to automatically convert the raw data into inventory-required data and to format it into the tabular form needed for subsequent entry into the IPCC inventory software. Data provenance, limitations and processing assumptions will be fully documented in the workbook, thereby providing a ‘paper trail’ that can be used for subsequent quality control/quality assurance purposes. Cells containing formulae</w:t>
      </w:r>
      <w:r w:rsidR="000A2477">
        <w:rPr>
          <w:rFonts w:cs="Calibri"/>
          <w:sz w:val="22"/>
          <w:szCs w:val="22"/>
        </w:rPr>
        <w:t xml:space="preserve">, </w:t>
      </w:r>
      <w:r w:rsidR="000F6F70">
        <w:rPr>
          <w:rFonts w:cs="Calibri"/>
          <w:sz w:val="22"/>
          <w:szCs w:val="22"/>
        </w:rPr>
        <w:t>pivot tables</w:t>
      </w:r>
      <w:r w:rsidR="000A2477">
        <w:rPr>
          <w:rFonts w:cs="Calibri"/>
          <w:sz w:val="22"/>
          <w:szCs w:val="22"/>
        </w:rPr>
        <w:t xml:space="preserve"> and output tables</w:t>
      </w:r>
      <w:r w:rsidR="000F6F70">
        <w:rPr>
          <w:rFonts w:cs="Calibri"/>
          <w:sz w:val="22"/>
          <w:szCs w:val="22"/>
        </w:rPr>
        <w:t xml:space="preserve"> will be locked</w:t>
      </w:r>
      <w:r w:rsidR="000A2477">
        <w:rPr>
          <w:rFonts w:cs="Calibri"/>
          <w:sz w:val="22"/>
          <w:szCs w:val="22"/>
        </w:rPr>
        <w:t>, so as to ensure that only raw data can be inputted.</w:t>
      </w:r>
      <w:r w:rsidR="00CF5369">
        <w:rPr>
          <w:rFonts w:cs="Calibri"/>
          <w:sz w:val="22"/>
          <w:szCs w:val="22"/>
        </w:rPr>
        <w:t xml:space="preserve"> The possibility of developing an application programming interface (API) that allows the output tables to be seamlessly imported </w:t>
      </w:r>
      <w:r w:rsidR="0077062C">
        <w:rPr>
          <w:rFonts w:cs="Calibri"/>
          <w:sz w:val="22"/>
          <w:szCs w:val="22"/>
        </w:rPr>
        <w:t xml:space="preserve">from Excel </w:t>
      </w:r>
      <w:r w:rsidR="00CF5369">
        <w:rPr>
          <w:rFonts w:cs="Calibri"/>
          <w:sz w:val="22"/>
          <w:szCs w:val="22"/>
        </w:rPr>
        <w:t>into the IPCC software will be explored during project preparation. But</w:t>
      </w:r>
      <w:r w:rsidR="0077062C">
        <w:rPr>
          <w:rFonts w:cs="Calibri"/>
          <w:sz w:val="22"/>
          <w:szCs w:val="22"/>
        </w:rPr>
        <w:t>,</w:t>
      </w:r>
      <w:r w:rsidR="00CF5369">
        <w:rPr>
          <w:rFonts w:cs="Calibri"/>
          <w:sz w:val="22"/>
          <w:szCs w:val="22"/>
        </w:rPr>
        <w:t xml:space="preserve"> even if manual input of the data from the Excel tables into the IPCC software is still required, the use of bespoke Excel workbooks will ensure that </w:t>
      </w:r>
      <w:r w:rsidR="00B9158D">
        <w:rPr>
          <w:rFonts w:cs="Calibri"/>
          <w:sz w:val="22"/>
          <w:szCs w:val="22"/>
        </w:rPr>
        <w:t>the burden on data-supply institutions is markedly reduced and that the data submitted to CCD is of the appropriate form, quality</w:t>
      </w:r>
      <w:r w:rsidR="00125A4C">
        <w:rPr>
          <w:rFonts w:cs="Calibri"/>
          <w:sz w:val="22"/>
          <w:szCs w:val="22"/>
        </w:rPr>
        <w:t xml:space="preserve"> and format. The Excel workbooks will</w:t>
      </w:r>
      <w:r w:rsidR="00F40E2D">
        <w:rPr>
          <w:rFonts w:cs="Calibri"/>
          <w:sz w:val="22"/>
          <w:szCs w:val="22"/>
        </w:rPr>
        <w:t xml:space="preserve"> </w:t>
      </w:r>
      <w:r w:rsidR="00125A4C">
        <w:rPr>
          <w:rFonts w:cs="Calibri"/>
          <w:sz w:val="22"/>
          <w:szCs w:val="22"/>
        </w:rPr>
        <w:t xml:space="preserve">be </w:t>
      </w:r>
      <w:r w:rsidR="00F40E2D">
        <w:rPr>
          <w:rFonts w:cs="Calibri"/>
          <w:sz w:val="22"/>
          <w:szCs w:val="22"/>
        </w:rPr>
        <w:t xml:space="preserve">uploaded to (by data-supply institutions) and downloaded from (by CCD) </w:t>
      </w:r>
      <w:r w:rsidR="00125A4C">
        <w:rPr>
          <w:rFonts w:cs="Calibri"/>
          <w:sz w:val="22"/>
          <w:szCs w:val="22"/>
        </w:rPr>
        <w:t>a secure area</w:t>
      </w:r>
      <w:r w:rsidR="00F40E2D">
        <w:rPr>
          <w:rFonts w:cs="Calibri"/>
          <w:sz w:val="22"/>
          <w:szCs w:val="22"/>
        </w:rPr>
        <w:t xml:space="preserve"> </w:t>
      </w:r>
      <w:r w:rsidR="00125A4C">
        <w:rPr>
          <w:rFonts w:cs="Calibri"/>
          <w:sz w:val="22"/>
          <w:szCs w:val="22"/>
        </w:rPr>
        <w:t xml:space="preserve">of the enhanced Climate Change Information Centre (see Output </w:t>
      </w:r>
      <w:r w:rsidR="009274B1">
        <w:rPr>
          <w:rFonts w:cs="Calibri"/>
          <w:sz w:val="22"/>
          <w:szCs w:val="22"/>
        </w:rPr>
        <w:t>3.2</w:t>
      </w:r>
      <w:r w:rsidR="00125A4C">
        <w:rPr>
          <w:rFonts w:cs="Calibri"/>
          <w:sz w:val="22"/>
          <w:szCs w:val="22"/>
        </w:rPr>
        <w:t xml:space="preserve"> below).</w:t>
      </w:r>
      <w:r w:rsidR="00F40E2D">
        <w:rPr>
          <w:rFonts w:cs="Calibri"/>
          <w:sz w:val="22"/>
          <w:szCs w:val="22"/>
        </w:rPr>
        <w:t xml:space="preserve"> This will facilitate inventory-related data exchange. The upload/download area will have differentiated user access rights such that institutions can access only ‘their’ workbooks and not those of other institutions, thereby respecting Mauritius’s strict data confidentiality rules as well as potentially commercially-sensitive information (such as, for example, IPPs’ electricity generation </w:t>
      </w:r>
      <w:r w:rsidR="00D032B5">
        <w:rPr>
          <w:rFonts w:cs="Calibri"/>
          <w:sz w:val="22"/>
          <w:szCs w:val="22"/>
        </w:rPr>
        <w:t>data).</w:t>
      </w:r>
    </w:p>
    <w:p w14:paraId="72BBB84E" w14:textId="7634F493" w:rsidR="00E746F6" w:rsidRDefault="00E746F6" w:rsidP="00D20748">
      <w:pPr>
        <w:ind w:left="-426"/>
        <w:jc w:val="both"/>
        <w:rPr>
          <w:i/>
          <w:sz w:val="22"/>
          <w:szCs w:val="22"/>
        </w:rPr>
      </w:pPr>
    </w:p>
    <w:p w14:paraId="6897ABFA" w14:textId="261DAA01" w:rsidR="001A1972" w:rsidRPr="004E6665" w:rsidRDefault="001A1972" w:rsidP="00D20748">
      <w:pPr>
        <w:ind w:left="-426"/>
        <w:jc w:val="both"/>
        <w:rPr>
          <w:b/>
          <w:sz w:val="22"/>
          <w:szCs w:val="22"/>
          <w:u w:val="single"/>
        </w:rPr>
      </w:pPr>
      <w:r w:rsidRPr="004E6665">
        <w:rPr>
          <w:b/>
          <w:sz w:val="22"/>
          <w:szCs w:val="22"/>
          <w:u w:val="single"/>
        </w:rPr>
        <w:t>Component 3: Mainstreaming the national greenhouse gas inventory to enhance transparency and support policy-making</w:t>
      </w:r>
    </w:p>
    <w:p w14:paraId="05F95128" w14:textId="47B4F9A5" w:rsidR="001A1972" w:rsidRDefault="001A1972" w:rsidP="001A1972">
      <w:pPr>
        <w:ind w:left="-426"/>
        <w:jc w:val="both"/>
        <w:rPr>
          <w:i/>
          <w:color w:val="000000"/>
          <w:sz w:val="22"/>
          <w:szCs w:val="22"/>
        </w:rPr>
      </w:pPr>
      <w:r>
        <w:rPr>
          <w:i/>
          <w:color w:val="000000"/>
          <w:sz w:val="22"/>
          <w:szCs w:val="22"/>
        </w:rPr>
        <w:t>GEF</w:t>
      </w:r>
      <w:r w:rsidRPr="000D27A2">
        <w:rPr>
          <w:i/>
          <w:color w:val="000000"/>
          <w:sz w:val="22"/>
          <w:szCs w:val="22"/>
        </w:rPr>
        <w:t xml:space="preserve"> budget: USD </w:t>
      </w:r>
      <w:r>
        <w:rPr>
          <w:i/>
          <w:color w:val="000000"/>
          <w:sz w:val="22"/>
          <w:szCs w:val="22"/>
        </w:rPr>
        <w:t>55,000</w:t>
      </w:r>
    </w:p>
    <w:p w14:paraId="48AB1916" w14:textId="3CCF2E05" w:rsidR="001A1972" w:rsidRDefault="001A1972" w:rsidP="001A1972">
      <w:pPr>
        <w:ind w:left="-426"/>
        <w:jc w:val="both"/>
        <w:rPr>
          <w:i/>
          <w:sz w:val="22"/>
          <w:szCs w:val="22"/>
        </w:rPr>
      </w:pPr>
      <w:r w:rsidRPr="000D27A2">
        <w:rPr>
          <w:i/>
          <w:color w:val="000000"/>
          <w:sz w:val="22"/>
          <w:szCs w:val="22"/>
        </w:rPr>
        <w:t xml:space="preserve">Co-finance: USD </w:t>
      </w:r>
      <w:r>
        <w:rPr>
          <w:i/>
          <w:color w:val="000000"/>
          <w:sz w:val="22"/>
          <w:szCs w:val="22"/>
        </w:rPr>
        <w:t>80,000</w:t>
      </w:r>
      <w:r w:rsidRPr="000D27A2">
        <w:rPr>
          <w:i/>
          <w:color w:val="000000"/>
          <w:sz w:val="22"/>
          <w:szCs w:val="22"/>
        </w:rPr>
        <w:t xml:space="preserve"> sourced from </w:t>
      </w:r>
      <w:proofErr w:type="spellStart"/>
      <w:r w:rsidRPr="000D27A2">
        <w:rPr>
          <w:i/>
          <w:sz w:val="22"/>
          <w:szCs w:val="22"/>
        </w:rPr>
        <w:t>Mo</w:t>
      </w:r>
      <w:r>
        <w:rPr>
          <w:i/>
          <w:sz w:val="22"/>
          <w:szCs w:val="22"/>
        </w:rPr>
        <w:t>SSNSESD</w:t>
      </w:r>
      <w:proofErr w:type="spellEnd"/>
      <w:r w:rsidR="00B5453C">
        <w:rPr>
          <w:i/>
          <w:sz w:val="22"/>
          <w:szCs w:val="22"/>
        </w:rPr>
        <w:t>, UNDP, Business Mauritius</w:t>
      </w:r>
    </w:p>
    <w:p w14:paraId="12EDDC04" w14:textId="77777777" w:rsidR="001A1972" w:rsidRDefault="001A1972" w:rsidP="00D20748">
      <w:pPr>
        <w:ind w:left="-426"/>
        <w:jc w:val="both"/>
        <w:rPr>
          <w:i/>
          <w:sz w:val="22"/>
          <w:szCs w:val="22"/>
        </w:rPr>
      </w:pPr>
    </w:p>
    <w:p w14:paraId="63FD4D05" w14:textId="4E9400EF" w:rsidR="00114D4F" w:rsidRPr="004E6665" w:rsidRDefault="001A1972" w:rsidP="00D20748">
      <w:pPr>
        <w:ind w:left="-426"/>
        <w:jc w:val="both"/>
        <w:rPr>
          <w:b/>
          <w:i/>
          <w:sz w:val="22"/>
          <w:szCs w:val="22"/>
        </w:rPr>
      </w:pPr>
      <w:r w:rsidRPr="004E6665">
        <w:rPr>
          <w:b/>
          <w:i/>
          <w:sz w:val="22"/>
          <w:szCs w:val="22"/>
        </w:rPr>
        <w:t>3.1</w:t>
      </w:r>
      <w:r w:rsidR="00114D4F" w:rsidRPr="004E6665">
        <w:rPr>
          <w:b/>
          <w:i/>
          <w:sz w:val="22"/>
          <w:szCs w:val="22"/>
        </w:rPr>
        <w:t xml:space="preserve"> Targeted training on the use of the new IT-based system and on the use of the inventory for policy formulation, target-setting, scenario analysis and MRV of NDC commitments</w:t>
      </w:r>
    </w:p>
    <w:p w14:paraId="07809C8D" w14:textId="77777777" w:rsidR="00114D4F" w:rsidRDefault="00114D4F" w:rsidP="00D20748">
      <w:pPr>
        <w:ind w:left="-426"/>
        <w:jc w:val="both"/>
        <w:rPr>
          <w:sz w:val="22"/>
          <w:szCs w:val="22"/>
        </w:rPr>
      </w:pPr>
    </w:p>
    <w:p w14:paraId="6C0277A1" w14:textId="393F8DF7" w:rsidR="00114D4F" w:rsidRDefault="00C94DAA" w:rsidP="00D20748">
      <w:pPr>
        <w:ind w:left="-426"/>
        <w:jc w:val="both"/>
        <w:rPr>
          <w:sz w:val="22"/>
          <w:szCs w:val="22"/>
        </w:rPr>
      </w:pPr>
      <w:r>
        <w:rPr>
          <w:sz w:val="22"/>
          <w:szCs w:val="22"/>
        </w:rPr>
        <w:t xml:space="preserve">The Excel template-based model for data </w:t>
      </w:r>
      <w:r w:rsidR="00164A4F">
        <w:rPr>
          <w:sz w:val="22"/>
          <w:szCs w:val="22"/>
        </w:rPr>
        <w:t xml:space="preserve">collection, processing and submission will be made as straightforward as possible for data-supply institutions. Furthermore, </w:t>
      </w:r>
      <w:r w:rsidR="00C524A5">
        <w:rPr>
          <w:sz w:val="22"/>
          <w:szCs w:val="22"/>
        </w:rPr>
        <w:t>each</w:t>
      </w:r>
      <w:r w:rsidR="00164A4F">
        <w:rPr>
          <w:sz w:val="22"/>
          <w:szCs w:val="22"/>
        </w:rPr>
        <w:t xml:space="preserve"> workbook will be developed in conjunction with each data-supply institution, so that it precisely matches the data availability and data constraints that each </w:t>
      </w:r>
      <w:r w:rsidR="00C524A5">
        <w:rPr>
          <w:sz w:val="22"/>
          <w:szCs w:val="22"/>
        </w:rPr>
        <w:t>institution</w:t>
      </w:r>
      <w:r w:rsidR="00164A4F">
        <w:rPr>
          <w:sz w:val="22"/>
          <w:szCs w:val="22"/>
        </w:rPr>
        <w:t xml:space="preserve"> faces. </w:t>
      </w:r>
      <w:r w:rsidR="00164A4F">
        <w:rPr>
          <w:sz w:val="22"/>
          <w:szCs w:val="22"/>
        </w:rPr>
        <w:lastRenderedPageBreak/>
        <w:t xml:space="preserve">Nonetheless, training will subsequently be provided </w:t>
      </w:r>
      <w:r w:rsidR="00C524A5">
        <w:rPr>
          <w:sz w:val="22"/>
          <w:szCs w:val="22"/>
        </w:rPr>
        <w:t xml:space="preserve">to the institutions on the use of the Excel workbooks and on the CCIC uploading service that will be used for submission of the completed workbooks. </w:t>
      </w:r>
      <w:r w:rsidR="000D2CEE">
        <w:rPr>
          <w:sz w:val="22"/>
          <w:szCs w:val="22"/>
        </w:rPr>
        <w:t xml:space="preserve">Although this training is not expected to be especially technical or conceptually ‘difficult’, it </w:t>
      </w:r>
      <w:r w:rsidR="009627FD">
        <w:rPr>
          <w:sz w:val="22"/>
          <w:szCs w:val="22"/>
        </w:rPr>
        <w:t xml:space="preserve">is considered useful for generating understanding and, critically, awareness of the new system. </w:t>
      </w:r>
      <w:r w:rsidR="009206CB">
        <w:rPr>
          <w:sz w:val="22"/>
          <w:szCs w:val="22"/>
        </w:rPr>
        <w:t xml:space="preserve">This training </w:t>
      </w:r>
      <w:r w:rsidR="00276FE6">
        <w:rPr>
          <w:sz w:val="22"/>
          <w:szCs w:val="22"/>
        </w:rPr>
        <w:t xml:space="preserve">will be rather time-consuming, due to the fact that each workbook will necessarily be different (tailored to the precise needs of each institution). It is, therefore, envisaged that a number of training workshops will be required, each addressing a number (between 5-10) of institutions that share commonalities – e.g. </w:t>
      </w:r>
      <w:r w:rsidR="009206CB">
        <w:rPr>
          <w:sz w:val="22"/>
          <w:szCs w:val="22"/>
        </w:rPr>
        <w:t>institutions that</w:t>
      </w:r>
      <w:r w:rsidR="00F37212">
        <w:rPr>
          <w:sz w:val="22"/>
          <w:szCs w:val="22"/>
        </w:rPr>
        <w:t xml:space="preserve"> cover similar sub-sectors or </w:t>
      </w:r>
      <w:r w:rsidR="009206CB">
        <w:rPr>
          <w:sz w:val="22"/>
          <w:szCs w:val="22"/>
        </w:rPr>
        <w:t>use</w:t>
      </w:r>
      <w:r w:rsidR="00F37212">
        <w:rPr>
          <w:sz w:val="22"/>
          <w:szCs w:val="22"/>
        </w:rPr>
        <w:t xml:space="preserve"> similar data-types or </w:t>
      </w:r>
      <w:r w:rsidR="009206CB">
        <w:rPr>
          <w:sz w:val="22"/>
          <w:szCs w:val="22"/>
        </w:rPr>
        <w:t xml:space="preserve">face similar </w:t>
      </w:r>
      <w:r w:rsidR="00F37212">
        <w:rPr>
          <w:sz w:val="22"/>
          <w:szCs w:val="22"/>
        </w:rPr>
        <w:t>data constraints.</w:t>
      </w:r>
    </w:p>
    <w:p w14:paraId="56361F2F" w14:textId="755741D6" w:rsidR="00E920D8" w:rsidRDefault="00E920D8" w:rsidP="00D20748">
      <w:pPr>
        <w:ind w:left="-426"/>
        <w:jc w:val="both"/>
        <w:rPr>
          <w:sz w:val="22"/>
          <w:szCs w:val="22"/>
        </w:rPr>
      </w:pPr>
    </w:p>
    <w:p w14:paraId="42C2CEF5" w14:textId="2853DEFE" w:rsidR="009375BA" w:rsidRDefault="00E920D8" w:rsidP="00D20748">
      <w:pPr>
        <w:ind w:left="-426"/>
        <w:jc w:val="both"/>
        <w:rPr>
          <w:sz w:val="22"/>
          <w:szCs w:val="22"/>
        </w:rPr>
      </w:pPr>
      <w:r>
        <w:rPr>
          <w:sz w:val="22"/>
          <w:szCs w:val="22"/>
        </w:rPr>
        <w:t xml:space="preserve">More strategically, </w:t>
      </w:r>
      <w:r w:rsidR="00AC29DE">
        <w:rPr>
          <w:sz w:val="22"/>
          <w:szCs w:val="22"/>
        </w:rPr>
        <w:t>the project will also support a training programme for institutions</w:t>
      </w:r>
      <w:r w:rsidR="00854D51">
        <w:rPr>
          <w:sz w:val="22"/>
          <w:szCs w:val="22"/>
        </w:rPr>
        <w:t xml:space="preserve"> – </w:t>
      </w:r>
      <w:r w:rsidR="00AC29DE">
        <w:rPr>
          <w:sz w:val="22"/>
          <w:szCs w:val="22"/>
        </w:rPr>
        <w:t>including</w:t>
      </w:r>
      <w:r w:rsidR="00854D51">
        <w:rPr>
          <w:sz w:val="22"/>
          <w:szCs w:val="22"/>
        </w:rPr>
        <w:t>,</w:t>
      </w:r>
      <w:r w:rsidR="00AC29DE">
        <w:rPr>
          <w:sz w:val="22"/>
          <w:szCs w:val="22"/>
        </w:rPr>
        <w:t xml:space="preserve"> but not confined to</w:t>
      </w:r>
      <w:r w:rsidR="00854D51">
        <w:rPr>
          <w:sz w:val="22"/>
          <w:szCs w:val="22"/>
        </w:rPr>
        <w:t>,</w:t>
      </w:r>
      <w:r w:rsidR="00AC29DE">
        <w:rPr>
          <w:sz w:val="22"/>
          <w:szCs w:val="22"/>
        </w:rPr>
        <w:t xml:space="preserve"> institutions that supply data to the inventory</w:t>
      </w:r>
      <w:r w:rsidR="00854D51">
        <w:rPr>
          <w:sz w:val="22"/>
          <w:szCs w:val="22"/>
        </w:rPr>
        <w:t xml:space="preserve"> –</w:t>
      </w:r>
      <w:r w:rsidR="00AC29DE">
        <w:rPr>
          <w:sz w:val="22"/>
          <w:szCs w:val="22"/>
        </w:rPr>
        <w:t xml:space="preserve"> on how the inventory can be used to inform policy formulation, scenario analysis, target-setting and progress tracking (against target</w:t>
      </w:r>
      <w:r w:rsidR="0050078E">
        <w:rPr>
          <w:sz w:val="22"/>
          <w:szCs w:val="22"/>
        </w:rPr>
        <w:t>s</w:t>
      </w:r>
      <w:r w:rsidR="00AC29DE">
        <w:rPr>
          <w:sz w:val="22"/>
          <w:szCs w:val="22"/>
        </w:rPr>
        <w:t xml:space="preserve">). The intention is to </w:t>
      </w:r>
      <w:r w:rsidR="00097D58">
        <w:rPr>
          <w:sz w:val="22"/>
          <w:szCs w:val="22"/>
        </w:rPr>
        <w:t xml:space="preserve">‘liberate’ the inventory from the </w:t>
      </w:r>
      <w:r w:rsidR="00760D7F">
        <w:rPr>
          <w:sz w:val="22"/>
          <w:szCs w:val="22"/>
        </w:rPr>
        <w:t xml:space="preserve">confined – and somewhat </w:t>
      </w:r>
      <w:r w:rsidR="00790E43">
        <w:rPr>
          <w:sz w:val="22"/>
          <w:szCs w:val="22"/>
        </w:rPr>
        <w:t>solitary</w:t>
      </w:r>
      <w:r w:rsidR="00760D7F">
        <w:rPr>
          <w:sz w:val="22"/>
          <w:szCs w:val="22"/>
        </w:rPr>
        <w:t xml:space="preserve"> – status it currently occupies, which is essentially as a periodic obligatory reporting requirement </w:t>
      </w:r>
      <w:r w:rsidR="00790E43">
        <w:rPr>
          <w:sz w:val="22"/>
          <w:szCs w:val="22"/>
        </w:rPr>
        <w:t>of</w:t>
      </w:r>
      <w:r w:rsidR="00760D7F">
        <w:rPr>
          <w:sz w:val="22"/>
          <w:szCs w:val="22"/>
        </w:rPr>
        <w:t xml:space="preserve"> an international treaty, into a useful tool with ongoing, national applications. </w:t>
      </w:r>
      <w:r w:rsidR="00A47BD8">
        <w:rPr>
          <w:sz w:val="22"/>
          <w:szCs w:val="22"/>
        </w:rPr>
        <w:t xml:space="preserve">Institutions will be trained on the use of the inventory for </w:t>
      </w:r>
      <w:r w:rsidR="003C6F7E">
        <w:rPr>
          <w:sz w:val="22"/>
          <w:szCs w:val="22"/>
        </w:rPr>
        <w:t xml:space="preserve">baseline- and target-setting, as well as an appreciation of the strengths and weaknesses of the inventory in this context. Institutions will also be trained on the use of the inventory for ‘what if’ analysis: for example, what would be the impact on emissions from road transport if the government were to introduce mandatory 5% ethanol blending, a tax rebate on hybrid vehicles and </w:t>
      </w:r>
      <w:r w:rsidR="00546BC2">
        <w:rPr>
          <w:sz w:val="22"/>
          <w:szCs w:val="22"/>
        </w:rPr>
        <w:t>a 5% reduction</w:t>
      </w:r>
      <w:r w:rsidR="003C6F7E">
        <w:rPr>
          <w:sz w:val="22"/>
          <w:szCs w:val="22"/>
        </w:rPr>
        <w:t xml:space="preserve"> in the </w:t>
      </w:r>
      <w:r w:rsidR="00546BC2">
        <w:rPr>
          <w:sz w:val="22"/>
          <w:szCs w:val="22"/>
        </w:rPr>
        <w:t>use of diesel oil for electricity generation? Or, for instance, what would be the impact on peak-time electricity-related GHG emissions arising from 2% annual growth in air conditioning combined with an abrupt reduction in bagasse use</w:t>
      </w:r>
      <w:r w:rsidR="00271986">
        <w:rPr>
          <w:sz w:val="22"/>
          <w:szCs w:val="22"/>
        </w:rPr>
        <w:t>?</w:t>
      </w:r>
      <w:r w:rsidR="00EA60F6">
        <w:rPr>
          <w:sz w:val="22"/>
          <w:szCs w:val="22"/>
        </w:rPr>
        <w:t xml:space="preserve"> The national GHG inventory is clearly not the only data-set or tool available to model such scenarios, and it is fully envisaged that the inventory will be used in combination with other data and analytical tools. But the inventory does provide the most comprehensive and ‘official’ breakdown of emissions by sector and sub-sector (and, often, even more granular levels)</w:t>
      </w:r>
      <w:r w:rsidR="009375BA">
        <w:rPr>
          <w:sz w:val="22"/>
          <w:szCs w:val="22"/>
        </w:rPr>
        <w:t xml:space="preserve"> and its use across institutions will provide a degree of internal consistency (in terms of data and assumptions) across sectoral plans and strategies that is currently lacking.</w:t>
      </w:r>
      <w:r w:rsidR="000D6CE5">
        <w:rPr>
          <w:sz w:val="22"/>
          <w:szCs w:val="22"/>
        </w:rPr>
        <w:t xml:space="preserve"> </w:t>
      </w:r>
      <w:r w:rsidR="009375BA">
        <w:rPr>
          <w:sz w:val="22"/>
          <w:szCs w:val="22"/>
        </w:rPr>
        <w:t xml:space="preserve">Many institutions, even those that supply data to the inventory, are simply unaware of the rich data-set that underlies the National GHG Inventory Report. With the improvements made to the CCIC (see Output </w:t>
      </w:r>
      <w:r w:rsidR="00625548">
        <w:rPr>
          <w:sz w:val="22"/>
          <w:szCs w:val="22"/>
        </w:rPr>
        <w:t>3.2</w:t>
      </w:r>
      <w:r w:rsidR="009375BA">
        <w:rPr>
          <w:sz w:val="22"/>
          <w:szCs w:val="22"/>
        </w:rPr>
        <w:t xml:space="preserve"> below), this data will, for the first time, be made available in digital, user-friendly form, thereby enabling the inventory to become a fully-fledged policy and MRV tool with continuous application and value. In addition to the policy-making benefits this will afford, greater use and awareness of the inventory is expected to increase institutions’ ‘buy-in’ to the inventory and to facilitate ongoing engagement with, and data provision to, the inventory.</w:t>
      </w:r>
    </w:p>
    <w:p w14:paraId="64EEB6FF" w14:textId="34EF3778" w:rsidR="00625548" w:rsidRDefault="00625548" w:rsidP="00D20748">
      <w:pPr>
        <w:ind w:left="-426"/>
        <w:jc w:val="both"/>
        <w:rPr>
          <w:sz w:val="22"/>
          <w:szCs w:val="22"/>
        </w:rPr>
      </w:pPr>
    </w:p>
    <w:p w14:paraId="582FC079" w14:textId="140F55C1" w:rsidR="00625548" w:rsidRDefault="009274B1" w:rsidP="00D20748">
      <w:pPr>
        <w:ind w:left="-426"/>
        <w:jc w:val="both"/>
        <w:rPr>
          <w:sz w:val="22"/>
          <w:szCs w:val="22"/>
        </w:rPr>
      </w:pPr>
      <w:r>
        <w:rPr>
          <w:sz w:val="22"/>
          <w:szCs w:val="22"/>
        </w:rPr>
        <w:t>The training programme will include a regional (Southern Africa, Indian Ocean) and international element that supports information exchange and strengthens Mauritius’s engagement with relevant peer networks, notably the Global Support Programme</w:t>
      </w:r>
      <w:r w:rsidR="00DA620E">
        <w:rPr>
          <w:rStyle w:val="FootnoteReference"/>
          <w:sz w:val="22"/>
          <w:szCs w:val="22"/>
        </w:rPr>
        <w:footnoteReference w:id="6"/>
      </w:r>
      <w:r>
        <w:rPr>
          <w:sz w:val="22"/>
          <w:szCs w:val="22"/>
        </w:rPr>
        <w:t xml:space="preserve"> and the CBIT Global Coordination Platform</w:t>
      </w:r>
      <w:r w:rsidR="00DA620E">
        <w:rPr>
          <w:rStyle w:val="FootnoteReference"/>
          <w:sz w:val="22"/>
          <w:szCs w:val="22"/>
        </w:rPr>
        <w:footnoteReference w:id="7"/>
      </w:r>
      <w:r>
        <w:rPr>
          <w:sz w:val="22"/>
          <w:szCs w:val="22"/>
        </w:rPr>
        <w:t xml:space="preserve">. </w:t>
      </w:r>
    </w:p>
    <w:p w14:paraId="48D16489" w14:textId="77777777" w:rsidR="009375BA" w:rsidRDefault="009375BA" w:rsidP="00D20748">
      <w:pPr>
        <w:ind w:left="-426"/>
        <w:jc w:val="both"/>
        <w:rPr>
          <w:sz w:val="22"/>
          <w:szCs w:val="22"/>
        </w:rPr>
      </w:pPr>
    </w:p>
    <w:p w14:paraId="6214B3B8" w14:textId="6D2C642A" w:rsidR="00114D4F" w:rsidRPr="004E6665" w:rsidRDefault="001A1972" w:rsidP="00D20748">
      <w:pPr>
        <w:ind w:left="-426"/>
        <w:jc w:val="both"/>
        <w:rPr>
          <w:b/>
          <w:i/>
          <w:sz w:val="22"/>
          <w:szCs w:val="22"/>
        </w:rPr>
      </w:pPr>
      <w:r w:rsidRPr="004E6665">
        <w:rPr>
          <w:b/>
          <w:i/>
          <w:sz w:val="22"/>
          <w:szCs w:val="22"/>
        </w:rPr>
        <w:t>3.2</w:t>
      </w:r>
      <w:r w:rsidR="00114D4F" w:rsidRPr="004E6665">
        <w:rPr>
          <w:b/>
          <w:i/>
          <w:sz w:val="22"/>
          <w:szCs w:val="22"/>
        </w:rPr>
        <w:t xml:space="preserve"> Enhancing the role of the Climate Change Information Centre (CCIC) as a transparency portal</w:t>
      </w:r>
    </w:p>
    <w:p w14:paraId="4F3F8E6E" w14:textId="7A0AD729" w:rsidR="00114D4F" w:rsidRPr="004E6665" w:rsidRDefault="00114D4F" w:rsidP="00114D4F">
      <w:pPr>
        <w:ind w:left="-426"/>
        <w:jc w:val="both"/>
        <w:rPr>
          <w:b/>
          <w:sz w:val="22"/>
          <w:szCs w:val="22"/>
        </w:rPr>
      </w:pPr>
    </w:p>
    <w:p w14:paraId="7A79F621" w14:textId="62FFED15" w:rsidR="00B74C77" w:rsidRDefault="00C01279" w:rsidP="00114D4F">
      <w:pPr>
        <w:ind w:left="-426"/>
        <w:jc w:val="both"/>
        <w:rPr>
          <w:sz w:val="22"/>
          <w:szCs w:val="22"/>
        </w:rPr>
      </w:pPr>
      <w:r>
        <w:rPr>
          <w:sz w:val="22"/>
          <w:szCs w:val="22"/>
        </w:rPr>
        <w:t xml:space="preserve">The </w:t>
      </w:r>
      <w:r w:rsidR="007731F9">
        <w:rPr>
          <w:sz w:val="22"/>
          <w:szCs w:val="22"/>
        </w:rPr>
        <w:t xml:space="preserve">online </w:t>
      </w:r>
      <w:r w:rsidR="00996A51">
        <w:rPr>
          <w:sz w:val="22"/>
          <w:szCs w:val="22"/>
        </w:rPr>
        <w:t xml:space="preserve">Climate Change Information Centre (CCIC) </w:t>
      </w:r>
      <w:r w:rsidR="007731F9">
        <w:rPr>
          <w:sz w:val="22"/>
          <w:szCs w:val="22"/>
        </w:rPr>
        <w:t xml:space="preserve">was established by the Climate Change Division in 2013 as a source of climate change information for researchers, students, NGOs, the private sector and the general public. </w:t>
      </w:r>
      <w:r w:rsidR="00843C9B">
        <w:rPr>
          <w:sz w:val="22"/>
          <w:szCs w:val="22"/>
        </w:rPr>
        <w:t>The website is regularly updated with news items and reports but is under-utilised – attracting approximately 4,000 visitors per year – and would benefit from cosmetic (‘look and feel’) improvements and, above all, a renewed sense of purpose. The CCIC represent</w:t>
      </w:r>
      <w:r w:rsidR="00F13ADE">
        <w:rPr>
          <w:sz w:val="22"/>
          <w:szCs w:val="22"/>
        </w:rPr>
        <w:t>s</w:t>
      </w:r>
      <w:r w:rsidR="00843C9B">
        <w:rPr>
          <w:sz w:val="22"/>
          <w:szCs w:val="22"/>
        </w:rPr>
        <w:t xml:space="preserve"> a ready-made solution to </w:t>
      </w:r>
      <w:r w:rsidR="00B74C77">
        <w:rPr>
          <w:sz w:val="22"/>
          <w:szCs w:val="22"/>
        </w:rPr>
        <w:t>three</w:t>
      </w:r>
      <w:r w:rsidR="00843C9B">
        <w:rPr>
          <w:sz w:val="22"/>
          <w:szCs w:val="22"/>
        </w:rPr>
        <w:t xml:space="preserve"> separate problems: </w:t>
      </w:r>
      <w:r w:rsidR="00B74C77">
        <w:rPr>
          <w:sz w:val="22"/>
          <w:szCs w:val="22"/>
        </w:rPr>
        <w:t xml:space="preserve">(a) the need for a simplified, standardised process by which institutions can supply </w:t>
      </w:r>
      <w:r w:rsidR="00F13ADE">
        <w:rPr>
          <w:sz w:val="22"/>
          <w:szCs w:val="22"/>
        </w:rPr>
        <w:t xml:space="preserve">GHG inventory </w:t>
      </w:r>
      <w:r w:rsidR="00B74C77">
        <w:rPr>
          <w:sz w:val="22"/>
          <w:szCs w:val="22"/>
        </w:rPr>
        <w:t xml:space="preserve">data to </w:t>
      </w:r>
      <w:r w:rsidR="00F13ADE">
        <w:rPr>
          <w:sz w:val="22"/>
          <w:szCs w:val="22"/>
        </w:rPr>
        <w:t>CCD</w:t>
      </w:r>
      <w:r w:rsidR="00B74C77">
        <w:rPr>
          <w:sz w:val="22"/>
          <w:szCs w:val="22"/>
        </w:rPr>
        <w:t xml:space="preserve">, </w:t>
      </w:r>
      <w:r w:rsidR="00843C9B">
        <w:rPr>
          <w:sz w:val="22"/>
          <w:szCs w:val="22"/>
        </w:rPr>
        <w:t>(</w:t>
      </w:r>
      <w:r w:rsidR="00B74C77">
        <w:rPr>
          <w:sz w:val="22"/>
          <w:szCs w:val="22"/>
        </w:rPr>
        <w:t>b</w:t>
      </w:r>
      <w:r w:rsidR="00843C9B">
        <w:rPr>
          <w:sz w:val="22"/>
          <w:szCs w:val="22"/>
        </w:rPr>
        <w:t>) the need for a digital archive for systematic, centralised storage</w:t>
      </w:r>
      <w:r w:rsidR="00B74C77">
        <w:rPr>
          <w:sz w:val="22"/>
          <w:szCs w:val="22"/>
        </w:rPr>
        <w:t xml:space="preserve"> of</w:t>
      </w:r>
      <w:r w:rsidR="00843C9B">
        <w:rPr>
          <w:sz w:val="22"/>
          <w:szCs w:val="22"/>
        </w:rPr>
        <w:t xml:space="preserve"> inventory-related data, and (</w:t>
      </w:r>
      <w:r w:rsidR="00B74C77">
        <w:rPr>
          <w:sz w:val="22"/>
          <w:szCs w:val="22"/>
        </w:rPr>
        <w:t>c</w:t>
      </w:r>
      <w:r w:rsidR="00843C9B">
        <w:rPr>
          <w:sz w:val="22"/>
          <w:szCs w:val="22"/>
        </w:rPr>
        <w:t xml:space="preserve">) the need for a ‘transparency portal’ that provides easy access to climate information </w:t>
      </w:r>
      <w:r w:rsidR="00B74C77">
        <w:rPr>
          <w:sz w:val="22"/>
          <w:szCs w:val="22"/>
        </w:rPr>
        <w:t>(</w:t>
      </w:r>
      <w:r w:rsidR="00843C9B">
        <w:rPr>
          <w:sz w:val="22"/>
          <w:szCs w:val="22"/>
        </w:rPr>
        <w:t>including</w:t>
      </w:r>
      <w:r w:rsidR="007F25CB">
        <w:rPr>
          <w:sz w:val="22"/>
          <w:szCs w:val="22"/>
        </w:rPr>
        <w:t xml:space="preserve"> but not limited to</w:t>
      </w:r>
      <w:r w:rsidR="00843C9B">
        <w:rPr>
          <w:sz w:val="22"/>
          <w:szCs w:val="22"/>
        </w:rPr>
        <w:t xml:space="preserve"> GHG inventory data</w:t>
      </w:r>
      <w:r w:rsidR="00B74C77">
        <w:rPr>
          <w:sz w:val="22"/>
          <w:szCs w:val="22"/>
        </w:rPr>
        <w:t>)</w:t>
      </w:r>
      <w:r w:rsidR="00843C9B">
        <w:rPr>
          <w:sz w:val="22"/>
          <w:szCs w:val="22"/>
        </w:rPr>
        <w:t xml:space="preserve"> </w:t>
      </w:r>
      <w:r w:rsidR="00B74C77">
        <w:rPr>
          <w:sz w:val="22"/>
          <w:szCs w:val="22"/>
        </w:rPr>
        <w:t xml:space="preserve">to users – not just to the general public but also to institutions that </w:t>
      </w:r>
      <w:r w:rsidR="00F13ADE">
        <w:rPr>
          <w:sz w:val="22"/>
          <w:szCs w:val="22"/>
        </w:rPr>
        <w:t>wish to use</w:t>
      </w:r>
      <w:r w:rsidR="00B74C77">
        <w:rPr>
          <w:sz w:val="22"/>
          <w:szCs w:val="22"/>
        </w:rPr>
        <w:t xml:space="preserve"> inventory data for detailed policy and scenario planning purposes.</w:t>
      </w:r>
    </w:p>
    <w:p w14:paraId="51C693BC" w14:textId="4A1E705C" w:rsidR="00C7470E" w:rsidRDefault="00C7470E" w:rsidP="00114D4F">
      <w:pPr>
        <w:ind w:left="-426"/>
        <w:jc w:val="both"/>
        <w:rPr>
          <w:sz w:val="22"/>
          <w:szCs w:val="22"/>
        </w:rPr>
      </w:pPr>
    </w:p>
    <w:p w14:paraId="0CC943D4" w14:textId="61A93D2C" w:rsidR="00C7470E" w:rsidRDefault="00C7470E" w:rsidP="00114D4F">
      <w:pPr>
        <w:ind w:left="-426"/>
        <w:jc w:val="both"/>
        <w:rPr>
          <w:sz w:val="22"/>
          <w:szCs w:val="22"/>
        </w:rPr>
      </w:pPr>
      <w:r>
        <w:rPr>
          <w:sz w:val="22"/>
          <w:szCs w:val="22"/>
        </w:rPr>
        <w:lastRenderedPageBreak/>
        <w:t>The GEF project will work with CCD</w:t>
      </w:r>
      <w:r w:rsidR="0008396F">
        <w:rPr>
          <w:sz w:val="22"/>
          <w:szCs w:val="22"/>
        </w:rPr>
        <w:t xml:space="preserve">, </w:t>
      </w:r>
      <w:r w:rsidR="00974950">
        <w:rPr>
          <w:sz w:val="22"/>
          <w:szCs w:val="22"/>
        </w:rPr>
        <w:t xml:space="preserve">the Central Informatics Bureau and </w:t>
      </w:r>
      <w:r w:rsidR="0008396F">
        <w:rPr>
          <w:sz w:val="22"/>
          <w:szCs w:val="22"/>
        </w:rPr>
        <w:t xml:space="preserve">the </w:t>
      </w:r>
      <w:r w:rsidR="00974950">
        <w:rPr>
          <w:sz w:val="22"/>
          <w:szCs w:val="22"/>
        </w:rPr>
        <w:t xml:space="preserve">Central Information </w:t>
      </w:r>
      <w:r w:rsidR="0008396F">
        <w:rPr>
          <w:sz w:val="22"/>
          <w:szCs w:val="22"/>
        </w:rPr>
        <w:t xml:space="preserve">Systems </w:t>
      </w:r>
      <w:r w:rsidR="00974950">
        <w:rPr>
          <w:sz w:val="22"/>
          <w:szCs w:val="22"/>
        </w:rPr>
        <w:t>Division</w:t>
      </w:r>
      <w:r w:rsidR="0008396F">
        <w:rPr>
          <w:sz w:val="22"/>
          <w:szCs w:val="22"/>
        </w:rPr>
        <w:t xml:space="preserve"> to</w:t>
      </w:r>
      <w:r w:rsidR="00AA076E">
        <w:rPr>
          <w:sz w:val="22"/>
          <w:szCs w:val="22"/>
        </w:rPr>
        <w:t xml:space="preserve"> upgrade the CCIC. This will require increased allocation of server processing capacity and bandwidth </w:t>
      </w:r>
      <w:r w:rsidR="007256DD">
        <w:rPr>
          <w:sz w:val="22"/>
          <w:szCs w:val="22"/>
        </w:rPr>
        <w:t xml:space="preserve">to the CCIC </w:t>
      </w:r>
      <w:r w:rsidR="00AA076E">
        <w:rPr>
          <w:sz w:val="22"/>
          <w:szCs w:val="22"/>
        </w:rPr>
        <w:t xml:space="preserve">(as response speeds on the website are currently slow), as well as increased allocation of disk space to enable greater data storage. </w:t>
      </w:r>
      <w:r w:rsidR="00406E9D">
        <w:rPr>
          <w:sz w:val="22"/>
          <w:szCs w:val="22"/>
        </w:rPr>
        <w:t xml:space="preserve">The website’s HTML ‘front end’ will be modernised and accompanied by improvements to the structure of the website and enhanced search functionality. The CCIC will be partitioned into internal and external </w:t>
      </w:r>
      <w:r w:rsidR="004428CD">
        <w:rPr>
          <w:sz w:val="22"/>
          <w:szCs w:val="22"/>
        </w:rPr>
        <w:t>sections, with the – modernised, improved – main website continuing to serve as a</w:t>
      </w:r>
      <w:r w:rsidR="00F177B1">
        <w:rPr>
          <w:sz w:val="22"/>
          <w:szCs w:val="22"/>
        </w:rPr>
        <w:t>n external</w:t>
      </w:r>
      <w:r w:rsidR="004428CD">
        <w:rPr>
          <w:sz w:val="22"/>
          <w:szCs w:val="22"/>
        </w:rPr>
        <w:t xml:space="preserve"> portal for the general public to access climate information for Mauritius while a password-protected </w:t>
      </w:r>
      <w:r w:rsidR="002A3487">
        <w:rPr>
          <w:sz w:val="22"/>
          <w:szCs w:val="22"/>
        </w:rPr>
        <w:t>internal section will serve as a data repository</w:t>
      </w:r>
      <w:r w:rsidR="00F177B1">
        <w:rPr>
          <w:sz w:val="22"/>
          <w:szCs w:val="22"/>
        </w:rPr>
        <w:t xml:space="preserve">. </w:t>
      </w:r>
      <w:r w:rsidR="001239CE">
        <w:rPr>
          <w:sz w:val="22"/>
          <w:szCs w:val="22"/>
        </w:rPr>
        <w:t xml:space="preserve">The internal section will provide: (a) an upload/download area for Excel workbooks as an element of the </w:t>
      </w:r>
      <w:r w:rsidR="00467BE1">
        <w:rPr>
          <w:sz w:val="22"/>
          <w:szCs w:val="22"/>
        </w:rPr>
        <w:t xml:space="preserve">improved </w:t>
      </w:r>
      <w:r w:rsidR="001239CE">
        <w:rPr>
          <w:sz w:val="22"/>
          <w:szCs w:val="22"/>
        </w:rPr>
        <w:t xml:space="preserve">national GHG inventory data-collection process (see Output 2.2), and (b) a structured data archive for inventory data and related documents. </w:t>
      </w:r>
      <w:r w:rsidR="00467BE1">
        <w:rPr>
          <w:sz w:val="22"/>
          <w:szCs w:val="22"/>
        </w:rPr>
        <w:t>Institutions will have differentiated access rights to different parts of the internal section of the CCIC, reflecting their needs and mandates.</w:t>
      </w:r>
      <w:r w:rsidR="000F36AB">
        <w:rPr>
          <w:sz w:val="22"/>
          <w:szCs w:val="22"/>
        </w:rPr>
        <w:t xml:space="preserve"> In order to facilitate greater functional use of the inventory (see Output </w:t>
      </w:r>
      <w:r w:rsidR="009274B1">
        <w:rPr>
          <w:sz w:val="22"/>
          <w:szCs w:val="22"/>
        </w:rPr>
        <w:t>3.1</w:t>
      </w:r>
      <w:r w:rsidR="000F36AB">
        <w:rPr>
          <w:sz w:val="22"/>
          <w:szCs w:val="22"/>
        </w:rPr>
        <w:t xml:space="preserve">), </w:t>
      </w:r>
      <w:r w:rsidR="00462A38">
        <w:rPr>
          <w:sz w:val="22"/>
          <w:szCs w:val="22"/>
        </w:rPr>
        <w:t xml:space="preserve">inventory data will be made </w:t>
      </w:r>
      <w:r w:rsidR="007256DD">
        <w:rPr>
          <w:sz w:val="22"/>
          <w:szCs w:val="22"/>
        </w:rPr>
        <w:t xml:space="preserve">publicly </w:t>
      </w:r>
      <w:r w:rsidR="00462A38">
        <w:rPr>
          <w:sz w:val="22"/>
          <w:szCs w:val="22"/>
        </w:rPr>
        <w:t xml:space="preserve">available on the CCIC in a searchable and </w:t>
      </w:r>
      <w:proofErr w:type="spellStart"/>
      <w:r w:rsidR="00462A38">
        <w:rPr>
          <w:sz w:val="22"/>
          <w:szCs w:val="22"/>
        </w:rPr>
        <w:t>manipulable</w:t>
      </w:r>
      <w:proofErr w:type="spellEnd"/>
      <w:r w:rsidR="00462A38">
        <w:rPr>
          <w:sz w:val="22"/>
          <w:szCs w:val="22"/>
        </w:rPr>
        <w:t xml:space="preserve"> format (such as </w:t>
      </w:r>
      <w:r w:rsidR="000E66ED">
        <w:rPr>
          <w:sz w:val="22"/>
          <w:szCs w:val="22"/>
        </w:rPr>
        <w:t>SQL</w:t>
      </w:r>
      <w:r w:rsidR="00462A38">
        <w:rPr>
          <w:sz w:val="22"/>
          <w:szCs w:val="22"/>
        </w:rPr>
        <w:t xml:space="preserve"> or </w:t>
      </w:r>
      <w:r w:rsidR="00124DB1">
        <w:rPr>
          <w:sz w:val="22"/>
          <w:szCs w:val="22"/>
        </w:rPr>
        <w:t xml:space="preserve">as </w:t>
      </w:r>
      <w:r w:rsidR="00462A38">
        <w:rPr>
          <w:sz w:val="22"/>
          <w:szCs w:val="22"/>
        </w:rPr>
        <w:t>Excel</w:t>
      </w:r>
      <w:r w:rsidR="00124DB1">
        <w:rPr>
          <w:sz w:val="22"/>
          <w:szCs w:val="22"/>
        </w:rPr>
        <w:t xml:space="preserve"> files</w:t>
      </w:r>
      <w:r w:rsidR="00357769">
        <w:rPr>
          <w:sz w:val="22"/>
          <w:szCs w:val="22"/>
        </w:rPr>
        <w:t>)</w:t>
      </w:r>
      <w:r w:rsidR="00462A38">
        <w:rPr>
          <w:sz w:val="22"/>
          <w:szCs w:val="22"/>
        </w:rPr>
        <w:t xml:space="preserve"> rather tha</w:t>
      </w:r>
      <w:r w:rsidR="000E66ED">
        <w:rPr>
          <w:sz w:val="22"/>
          <w:szCs w:val="22"/>
        </w:rPr>
        <w:t xml:space="preserve">n </w:t>
      </w:r>
      <w:r w:rsidR="00357769">
        <w:rPr>
          <w:sz w:val="22"/>
          <w:szCs w:val="22"/>
        </w:rPr>
        <w:t xml:space="preserve">as </w:t>
      </w:r>
      <w:r w:rsidR="000E66ED">
        <w:rPr>
          <w:sz w:val="22"/>
          <w:szCs w:val="22"/>
        </w:rPr>
        <w:t>PDF or other text-based formats</w:t>
      </w:r>
      <w:r w:rsidR="00513965">
        <w:rPr>
          <w:sz w:val="22"/>
          <w:szCs w:val="22"/>
        </w:rPr>
        <w:t xml:space="preserve">. </w:t>
      </w:r>
      <w:r w:rsidR="001A108F">
        <w:rPr>
          <w:sz w:val="22"/>
          <w:szCs w:val="22"/>
        </w:rPr>
        <w:t>The GEF project will also support</w:t>
      </w:r>
      <w:r w:rsidR="001A108F" w:rsidRPr="001A108F">
        <w:rPr>
          <w:sz w:val="22"/>
          <w:szCs w:val="22"/>
        </w:rPr>
        <w:t xml:space="preserve"> </w:t>
      </w:r>
      <w:proofErr w:type="spellStart"/>
      <w:r w:rsidR="001A108F" w:rsidRPr="001A108F">
        <w:rPr>
          <w:sz w:val="22"/>
          <w:szCs w:val="22"/>
        </w:rPr>
        <w:t>MoSSNSESD</w:t>
      </w:r>
      <w:proofErr w:type="spellEnd"/>
      <w:r w:rsidR="001A108F">
        <w:rPr>
          <w:sz w:val="22"/>
          <w:szCs w:val="22"/>
        </w:rPr>
        <w:t xml:space="preserve"> and Statistics Mauritius, in the context of the baseline Shared Environmental Information System (SEIS) project, to link the SEIS Indicator Reporting Information System (IRIS) to the CCIC, such that inventory data can be ‘pulled’ from the CCIC and displayed in IRIS on an ongoing basis.</w:t>
      </w:r>
    </w:p>
    <w:p w14:paraId="6862B23F" w14:textId="77777777" w:rsidR="00643D86" w:rsidRPr="008C26C8" w:rsidRDefault="00643D86" w:rsidP="00114D4F">
      <w:pPr>
        <w:ind w:left="-426"/>
        <w:jc w:val="both"/>
        <w:rPr>
          <w:sz w:val="22"/>
          <w:szCs w:val="22"/>
        </w:rPr>
      </w:pPr>
    </w:p>
    <w:p w14:paraId="667DAF2F" w14:textId="77777777" w:rsidR="008C26C8" w:rsidRPr="008C26C8" w:rsidRDefault="008C26C8" w:rsidP="00737402">
      <w:pPr>
        <w:ind w:left="-426"/>
        <w:jc w:val="both"/>
        <w:rPr>
          <w:sz w:val="22"/>
          <w:szCs w:val="22"/>
        </w:rPr>
      </w:pPr>
      <w:r w:rsidRPr="008C26C8">
        <w:rPr>
          <w:sz w:val="22"/>
          <w:szCs w:val="22"/>
        </w:rPr>
        <w:t xml:space="preserve">(d) </w:t>
      </w:r>
      <w:r w:rsidRPr="008C26C8">
        <w:rPr>
          <w:sz w:val="22"/>
          <w:szCs w:val="22"/>
          <w:u w:val="single"/>
        </w:rPr>
        <w:t>Alignment with GEF focal area and/or Impact Program strategies</w:t>
      </w:r>
    </w:p>
    <w:p w14:paraId="3B17472D" w14:textId="1266523C" w:rsidR="008C26C8" w:rsidRDefault="008C26C8" w:rsidP="00737402">
      <w:pPr>
        <w:ind w:left="-426"/>
        <w:jc w:val="both"/>
        <w:rPr>
          <w:sz w:val="22"/>
          <w:szCs w:val="22"/>
        </w:rPr>
      </w:pPr>
    </w:p>
    <w:p w14:paraId="669D72AA" w14:textId="51D32F3A" w:rsidR="006137BF" w:rsidRDefault="00020AE2" w:rsidP="006137BF">
      <w:pPr>
        <w:ind w:left="-426"/>
        <w:jc w:val="both"/>
        <w:rPr>
          <w:sz w:val="22"/>
          <w:szCs w:val="22"/>
        </w:rPr>
      </w:pPr>
      <w:r>
        <w:rPr>
          <w:sz w:val="22"/>
          <w:szCs w:val="22"/>
        </w:rPr>
        <w:t xml:space="preserve">The project is fully aligned with Climate Change Objective 3, Component 8: Capacity Building Initiative for Transparency. As outlined on page 41 of the GEF-7 </w:t>
      </w:r>
      <w:r w:rsidR="006137BF">
        <w:rPr>
          <w:sz w:val="22"/>
          <w:szCs w:val="22"/>
        </w:rPr>
        <w:t>Programming Directions, CBIT aims:</w:t>
      </w:r>
    </w:p>
    <w:p w14:paraId="0A436D8B" w14:textId="77777777" w:rsidR="006137BF" w:rsidRPr="006137BF" w:rsidRDefault="006137BF" w:rsidP="006137BF">
      <w:pPr>
        <w:ind w:left="-426"/>
        <w:jc w:val="both"/>
        <w:rPr>
          <w:sz w:val="22"/>
          <w:szCs w:val="22"/>
        </w:rPr>
      </w:pPr>
    </w:p>
    <w:p w14:paraId="58B52261" w14:textId="77777777" w:rsidR="006137BF" w:rsidRPr="00B565E0" w:rsidRDefault="006137BF" w:rsidP="00982B0E">
      <w:pPr>
        <w:pStyle w:val="ListParagraph"/>
        <w:numPr>
          <w:ilvl w:val="0"/>
          <w:numId w:val="8"/>
        </w:numPr>
        <w:rPr>
          <w:u w:val="none"/>
          <w:lang w:val="en-US"/>
        </w:rPr>
      </w:pPr>
      <w:r w:rsidRPr="00B565E0">
        <w:rPr>
          <w:u w:val="none"/>
          <w:lang w:val="en-US"/>
        </w:rPr>
        <w:t>To strengthen national institutions for transparency-related activities in line with national priorities.</w:t>
      </w:r>
    </w:p>
    <w:p w14:paraId="351AFCAC" w14:textId="77777777" w:rsidR="006137BF" w:rsidRPr="00B565E0" w:rsidRDefault="006137BF" w:rsidP="00982B0E">
      <w:pPr>
        <w:pStyle w:val="ListParagraph"/>
        <w:numPr>
          <w:ilvl w:val="0"/>
          <w:numId w:val="8"/>
        </w:numPr>
        <w:rPr>
          <w:u w:val="none"/>
          <w:lang w:val="en-US"/>
        </w:rPr>
      </w:pPr>
      <w:r w:rsidRPr="00B565E0">
        <w:rPr>
          <w:u w:val="none"/>
          <w:lang w:val="en-US"/>
        </w:rPr>
        <w:t>To provide relevant tools, training and assistance for meeting the provisions stipulated in Article 13 of the Agreement.</w:t>
      </w:r>
    </w:p>
    <w:p w14:paraId="4ABBF839" w14:textId="675C0FB3" w:rsidR="006137BF" w:rsidRPr="00B565E0" w:rsidRDefault="006137BF" w:rsidP="00982B0E">
      <w:pPr>
        <w:pStyle w:val="ListParagraph"/>
        <w:numPr>
          <w:ilvl w:val="0"/>
          <w:numId w:val="8"/>
        </w:numPr>
        <w:rPr>
          <w:u w:val="none"/>
          <w:lang w:val="en-US"/>
        </w:rPr>
      </w:pPr>
      <w:r w:rsidRPr="00B565E0">
        <w:rPr>
          <w:u w:val="none"/>
          <w:lang w:val="en-US"/>
        </w:rPr>
        <w:t xml:space="preserve">To assist in the improvement of transparency over time. </w:t>
      </w:r>
    </w:p>
    <w:p w14:paraId="2FF283C8" w14:textId="37D15064" w:rsidR="006137BF" w:rsidRDefault="006137BF" w:rsidP="00737402">
      <w:pPr>
        <w:ind w:left="-426"/>
        <w:jc w:val="both"/>
        <w:rPr>
          <w:sz w:val="22"/>
          <w:szCs w:val="22"/>
        </w:rPr>
      </w:pPr>
    </w:p>
    <w:p w14:paraId="7405D77A" w14:textId="3ACD11CE" w:rsidR="006137BF" w:rsidRPr="008C26C8" w:rsidRDefault="006137BF" w:rsidP="00737402">
      <w:pPr>
        <w:ind w:left="-426"/>
        <w:jc w:val="both"/>
        <w:rPr>
          <w:sz w:val="22"/>
          <w:szCs w:val="22"/>
        </w:rPr>
      </w:pPr>
      <w:r>
        <w:rPr>
          <w:sz w:val="22"/>
          <w:szCs w:val="22"/>
        </w:rPr>
        <w:t>The project addresses all three of these aims through, for example, improvements to the national GHG inventory and to the underlying inventory process; to training on enhancements to the inventory process and on better application of the inventory for policy formulation and policy tracking (including NDC tracking); on better integrati</w:t>
      </w:r>
      <w:r w:rsidR="004A605F">
        <w:rPr>
          <w:sz w:val="22"/>
          <w:szCs w:val="22"/>
        </w:rPr>
        <w:t>on of</w:t>
      </w:r>
      <w:r>
        <w:rPr>
          <w:sz w:val="22"/>
          <w:szCs w:val="22"/>
        </w:rPr>
        <w:t xml:space="preserve"> the inventory in national development policies and programmes, such as energy diversification, electrification of the transport sector, promotion of forestry and promotion of a sustainable livestock sector</w:t>
      </w:r>
      <w:r w:rsidR="004A605F">
        <w:rPr>
          <w:sz w:val="22"/>
          <w:szCs w:val="22"/>
        </w:rPr>
        <w:t xml:space="preserve">; and broader institutional engagement in GHG </w:t>
      </w:r>
      <w:r w:rsidR="00F24BF4">
        <w:rPr>
          <w:sz w:val="22"/>
          <w:szCs w:val="22"/>
        </w:rPr>
        <w:t>transparency</w:t>
      </w:r>
      <w:r w:rsidR="004A605F">
        <w:rPr>
          <w:sz w:val="22"/>
          <w:szCs w:val="22"/>
        </w:rPr>
        <w:t xml:space="preserve"> from the private sector and from civil society.</w:t>
      </w:r>
    </w:p>
    <w:p w14:paraId="6928E673" w14:textId="77777777" w:rsidR="008C26C8" w:rsidRPr="008C26C8" w:rsidRDefault="008C26C8" w:rsidP="00737402">
      <w:pPr>
        <w:ind w:left="-426"/>
        <w:jc w:val="both"/>
        <w:rPr>
          <w:sz w:val="22"/>
          <w:szCs w:val="22"/>
        </w:rPr>
      </w:pPr>
    </w:p>
    <w:p w14:paraId="518E307B" w14:textId="77777777" w:rsidR="008C26C8" w:rsidRPr="008C26C8" w:rsidRDefault="008C26C8" w:rsidP="00737402">
      <w:pPr>
        <w:ind w:left="-426"/>
        <w:jc w:val="both"/>
        <w:rPr>
          <w:sz w:val="22"/>
          <w:szCs w:val="22"/>
        </w:rPr>
      </w:pPr>
      <w:r w:rsidRPr="008C26C8">
        <w:rPr>
          <w:sz w:val="22"/>
          <w:szCs w:val="22"/>
        </w:rPr>
        <w:t xml:space="preserve">(e) </w:t>
      </w:r>
      <w:r w:rsidRPr="008C26C8">
        <w:rPr>
          <w:sz w:val="22"/>
          <w:szCs w:val="22"/>
          <w:u w:val="single"/>
        </w:rPr>
        <w:t>I</w:t>
      </w:r>
      <w:r w:rsidRPr="008C26C8" w:rsidDel="00B132EE">
        <w:rPr>
          <w:sz w:val="22"/>
          <w:szCs w:val="22"/>
          <w:u w:val="single"/>
        </w:rPr>
        <w:t>ncremental</w:t>
      </w:r>
      <w:r w:rsidRPr="008C26C8">
        <w:rPr>
          <w:sz w:val="22"/>
          <w:szCs w:val="22"/>
          <w:u w:val="single"/>
        </w:rPr>
        <w:t>/additional cost reasoning and expected contributions from the baseline, the GEFTF, LDCF, SCCF, and co-financing</w:t>
      </w:r>
    </w:p>
    <w:p w14:paraId="6C198029" w14:textId="45B6E186" w:rsidR="008C26C8" w:rsidRDefault="008C26C8" w:rsidP="00737402">
      <w:pPr>
        <w:ind w:left="-426"/>
        <w:jc w:val="both"/>
        <w:rPr>
          <w:sz w:val="22"/>
          <w:szCs w:val="22"/>
        </w:rPr>
      </w:pPr>
    </w:p>
    <w:p w14:paraId="13F6B02B" w14:textId="4FD80930" w:rsidR="00020AE2" w:rsidRDefault="00465987" w:rsidP="00737402">
      <w:pPr>
        <w:ind w:left="-426"/>
        <w:jc w:val="both"/>
        <w:rPr>
          <w:sz w:val="22"/>
          <w:szCs w:val="22"/>
        </w:rPr>
      </w:pPr>
      <w:r>
        <w:rPr>
          <w:sz w:val="22"/>
          <w:szCs w:val="22"/>
        </w:rPr>
        <w:t>Improved</w:t>
      </w:r>
      <w:r w:rsidR="00161618">
        <w:rPr>
          <w:sz w:val="22"/>
          <w:szCs w:val="22"/>
        </w:rPr>
        <w:t xml:space="preserve"> quantification and reporting of greenhouse gas emissions has clear and immediate benefits in the form of: improved tracking of emissions progress against the NDC target; an improved basis for future revisions to the NDC target; improved international reporting (the National Communication and Biennial Update Reports); </w:t>
      </w:r>
      <w:r>
        <w:rPr>
          <w:sz w:val="22"/>
          <w:szCs w:val="22"/>
        </w:rPr>
        <w:t xml:space="preserve">identification of GHG mitigation opportunities (and potentially greater ease of attracting international support for </w:t>
      </w:r>
      <w:r w:rsidR="00F526BA">
        <w:rPr>
          <w:sz w:val="22"/>
          <w:szCs w:val="22"/>
        </w:rPr>
        <w:t xml:space="preserve">addressing </w:t>
      </w:r>
      <w:r>
        <w:rPr>
          <w:sz w:val="22"/>
          <w:szCs w:val="22"/>
        </w:rPr>
        <w:t>such mitigation opportunities); and improved evidence-led policy-making.</w:t>
      </w:r>
    </w:p>
    <w:p w14:paraId="6F847286" w14:textId="5FD19E98" w:rsidR="00465987" w:rsidRDefault="00465987" w:rsidP="00737402">
      <w:pPr>
        <w:ind w:left="-426"/>
        <w:jc w:val="both"/>
        <w:rPr>
          <w:sz w:val="22"/>
          <w:szCs w:val="22"/>
        </w:rPr>
      </w:pPr>
    </w:p>
    <w:p w14:paraId="07BE0902" w14:textId="25B0F5BB" w:rsidR="00465987" w:rsidRDefault="00465987" w:rsidP="00737402">
      <w:pPr>
        <w:ind w:left="-426"/>
        <w:jc w:val="both"/>
        <w:rPr>
          <w:sz w:val="22"/>
          <w:szCs w:val="22"/>
        </w:rPr>
      </w:pPr>
      <w:r>
        <w:rPr>
          <w:sz w:val="22"/>
          <w:szCs w:val="22"/>
        </w:rPr>
        <w:t xml:space="preserve">As described in </w:t>
      </w:r>
      <w:r w:rsidR="002064CD">
        <w:rPr>
          <w:sz w:val="22"/>
          <w:szCs w:val="22"/>
        </w:rPr>
        <w:t>Section 1b and in Figure 1, the baseline scenario is characterised by a number of barriers that require GEF assistance to address. Without GEF intervention, these barriers will continue to prevail, thereby preventing Mauritius from accessing the benefits listed above. The GEF project builds on a solid baseline of past National Communications and national GHG inventories, as well as a rich ecosystem of baseline projects (see Table 2), in order to advance transparency and address the identified barriers. The co-finance mobilised by the project – indicatively, USD 790,000</w:t>
      </w:r>
      <w:r w:rsidR="00591D2F">
        <w:rPr>
          <w:sz w:val="22"/>
          <w:szCs w:val="22"/>
        </w:rPr>
        <w:t xml:space="preserve">, but potentially considerably more depending upon the results of the policy and institutional review undertaken during project preparation (see Output 2.1) </w:t>
      </w:r>
      <w:r w:rsidR="002064CD">
        <w:rPr>
          <w:sz w:val="22"/>
          <w:szCs w:val="22"/>
        </w:rPr>
        <w:t xml:space="preserve"> – represents a </w:t>
      </w:r>
      <w:r w:rsidR="00336AFD">
        <w:rPr>
          <w:sz w:val="22"/>
          <w:szCs w:val="22"/>
        </w:rPr>
        <w:t>large</w:t>
      </w:r>
      <w:r w:rsidR="002064CD">
        <w:rPr>
          <w:sz w:val="22"/>
          <w:szCs w:val="22"/>
        </w:rPr>
        <w:t xml:space="preserve"> amount for a project that is, at root, a rather technical </w:t>
      </w:r>
      <w:r w:rsidR="009E07D4">
        <w:rPr>
          <w:sz w:val="22"/>
          <w:szCs w:val="22"/>
        </w:rPr>
        <w:t xml:space="preserve">intervention focused on a public good (the national GHG inventory). Furthermore, </w:t>
      </w:r>
      <w:r w:rsidR="009E07D4">
        <w:rPr>
          <w:sz w:val="22"/>
          <w:szCs w:val="22"/>
        </w:rPr>
        <w:lastRenderedPageBreak/>
        <w:t>the range of institutions engaged in the project (at least 11 co-financing institutions are anticipated) is extremely high given the fact that the project is an MSP requesting USD 1.3 million of GEF support.</w:t>
      </w:r>
    </w:p>
    <w:p w14:paraId="791D2373" w14:textId="77777777" w:rsidR="008C26C8" w:rsidRPr="008C26C8" w:rsidRDefault="008C26C8" w:rsidP="00737402">
      <w:pPr>
        <w:ind w:left="-426"/>
        <w:jc w:val="both"/>
        <w:rPr>
          <w:sz w:val="22"/>
          <w:szCs w:val="22"/>
        </w:rPr>
      </w:pPr>
    </w:p>
    <w:p w14:paraId="260A91D1" w14:textId="77777777" w:rsidR="008C26C8" w:rsidRPr="008C26C8" w:rsidRDefault="008C26C8" w:rsidP="00737402">
      <w:pPr>
        <w:ind w:left="-426"/>
        <w:jc w:val="both"/>
        <w:rPr>
          <w:sz w:val="22"/>
          <w:szCs w:val="22"/>
        </w:rPr>
      </w:pPr>
      <w:r w:rsidRPr="008C26C8">
        <w:rPr>
          <w:sz w:val="22"/>
          <w:szCs w:val="22"/>
        </w:rPr>
        <w:t xml:space="preserve">(f) </w:t>
      </w:r>
      <w:r w:rsidRPr="008C26C8">
        <w:rPr>
          <w:sz w:val="22"/>
          <w:szCs w:val="22"/>
          <w:u w:val="single"/>
        </w:rPr>
        <w:t>Global environmental benefits (GEFTF) and/or adaptation benefits (LDCF/SCCF)</w:t>
      </w:r>
    </w:p>
    <w:p w14:paraId="62D9A9E8" w14:textId="75DB6B9C" w:rsidR="008C26C8" w:rsidRDefault="008C26C8" w:rsidP="00737402">
      <w:pPr>
        <w:ind w:left="-426"/>
        <w:jc w:val="both"/>
        <w:rPr>
          <w:sz w:val="22"/>
          <w:szCs w:val="22"/>
        </w:rPr>
      </w:pPr>
    </w:p>
    <w:p w14:paraId="7DBC3528" w14:textId="480948EF" w:rsidR="007160FC" w:rsidRDefault="007160FC" w:rsidP="00737402">
      <w:pPr>
        <w:ind w:left="-426"/>
        <w:jc w:val="both"/>
        <w:rPr>
          <w:sz w:val="22"/>
          <w:szCs w:val="22"/>
        </w:rPr>
      </w:pPr>
      <w:r>
        <w:rPr>
          <w:sz w:val="22"/>
          <w:szCs w:val="22"/>
        </w:rPr>
        <w:t>The project’s global environmental benefits come in two forms:</w:t>
      </w:r>
    </w:p>
    <w:p w14:paraId="353D607C" w14:textId="0EAB4ED0" w:rsidR="007160FC" w:rsidRDefault="007160FC" w:rsidP="00737402">
      <w:pPr>
        <w:ind w:left="-426"/>
        <w:jc w:val="both"/>
        <w:rPr>
          <w:sz w:val="22"/>
          <w:szCs w:val="22"/>
        </w:rPr>
      </w:pPr>
    </w:p>
    <w:p w14:paraId="5CFB4C44" w14:textId="7108D533" w:rsidR="007160FC" w:rsidRPr="00B565E0" w:rsidRDefault="007160FC" w:rsidP="00D1029A">
      <w:pPr>
        <w:pStyle w:val="ListParagraph"/>
        <w:jc w:val="both"/>
        <w:rPr>
          <w:u w:val="none"/>
        </w:rPr>
      </w:pPr>
      <w:r w:rsidRPr="00B565E0">
        <w:rPr>
          <w:u w:val="none"/>
        </w:rPr>
        <w:t>The project will indirectly support national mitigation efforts through an enhanced understanding of GHG emissions/sequestration from the Energy Industries, Transport, Forestry and Livestock sub-sectors, as well as identification of potential emerging shortfalls in mitigation efforts relative to the NDC target.</w:t>
      </w:r>
    </w:p>
    <w:p w14:paraId="7AE7F82B" w14:textId="29F03D68" w:rsidR="007160FC" w:rsidRPr="00B565E0" w:rsidRDefault="007160FC" w:rsidP="00D1029A">
      <w:pPr>
        <w:pStyle w:val="ListParagraph"/>
        <w:jc w:val="both"/>
        <w:rPr>
          <w:u w:val="none"/>
        </w:rPr>
      </w:pPr>
      <w:r w:rsidRPr="00B565E0">
        <w:rPr>
          <w:u w:val="none"/>
        </w:rPr>
        <w:t>The project will indirectly support international mitigation efforts through improved accuracy of GHG emissions data</w:t>
      </w:r>
      <w:r w:rsidR="006B5825" w:rsidRPr="00B565E0">
        <w:rPr>
          <w:u w:val="none"/>
        </w:rPr>
        <w:t xml:space="preserve"> which, among others, can inform the periodic Global Stocktake </w:t>
      </w:r>
      <w:r w:rsidR="00F036BA" w:rsidRPr="00B565E0">
        <w:rPr>
          <w:u w:val="none"/>
        </w:rPr>
        <w:t>of collective progress towards climate goals.</w:t>
      </w:r>
      <w:r w:rsidR="006B5825" w:rsidRPr="00B565E0">
        <w:rPr>
          <w:u w:val="none"/>
        </w:rPr>
        <w:t xml:space="preserve"> </w:t>
      </w:r>
    </w:p>
    <w:p w14:paraId="7761D58B" w14:textId="2F12F163" w:rsidR="008C26C8" w:rsidRDefault="008C26C8" w:rsidP="00737402">
      <w:pPr>
        <w:ind w:left="-426"/>
        <w:jc w:val="both"/>
        <w:rPr>
          <w:sz w:val="22"/>
          <w:szCs w:val="22"/>
        </w:rPr>
      </w:pPr>
    </w:p>
    <w:p w14:paraId="69D13F3E" w14:textId="585A8527" w:rsidR="00114D4F" w:rsidRPr="008C26C8" w:rsidRDefault="008C26C8" w:rsidP="00737402">
      <w:pPr>
        <w:ind w:left="-426"/>
        <w:jc w:val="both"/>
        <w:rPr>
          <w:sz w:val="22"/>
          <w:szCs w:val="22"/>
        </w:rPr>
      </w:pPr>
      <w:r w:rsidRPr="008C26C8">
        <w:rPr>
          <w:sz w:val="22"/>
          <w:szCs w:val="22"/>
        </w:rPr>
        <w:t xml:space="preserve">(g) </w:t>
      </w:r>
      <w:r w:rsidRPr="008C26C8">
        <w:rPr>
          <w:sz w:val="22"/>
          <w:szCs w:val="22"/>
          <w:u w:val="single"/>
        </w:rPr>
        <w:t>Innovation, sustainability and potential for scaling</w:t>
      </w:r>
      <w:r>
        <w:rPr>
          <w:sz w:val="22"/>
          <w:szCs w:val="22"/>
          <w:u w:val="single"/>
        </w:rPr>
        <w:t>-</w:t>
      </w:r>
      <w:r w:rsidRPr="008C26C8">
        <w:rPr>
          <w:sz w:val="22"/>
          <w:szCs w:val="22"/>
          <w:u w:val="single"/>
        </w:rPr>
        <w:t>up</w:t>
      </w:r>
    </w:p>
    <w:p w14:paraId="1B740E69" w14:textId="77777777" w:rsidR="00737402" w:rsidRPr="008C26C8" w:rsidRDefault="00737402" w:rsidP="00AA4E74">
      <w:pPr>
        <w:pStyle w:val="GEFFieldtoFillout"/>
        <w:shd w:val="clear" w:color="auto" w:fill="FFFFFF"/>
      </w:pPr>
    </w:p>
    <w:p w14:paraId="171E4331" w14:textId="6A09839F" w:rsidR="00764904" w:rsidRDefault="00764904" w:rsidP="004F2939">
      <w:pPr>
        <w:pStyle w:val="GEFFieldtoFillout"/>
        <w:shd w:val="clear" w:color="auto" w:fill="FFFFFF"/>
        <w:ind w:left="-426"/>
        <w:jc w:val="both"/>
      </w:pPr>
      <w:r>
        <w:t>The project is innovative. It applies IPCC best practice by supporting the development of higher-Tier GHG estimation approaches for Key Category sectors/sub-sectors. Upgrading of the Climate Change Information Centre into a climate transparency portal represents an innovative (but least-cost) approach to the twin problems of (a) maintaining a comprehensive data archive and (b) ensuring stakeholders, both domestic and international, are able to straightforwardly access the full range of public documents and data-sets relating to climate change in Mauritius.</w:t>
      </w:r>
    </w:p>
    <w:p w14:paraId="0A0B5AA2" w14:textId="77777777" w:rsidR="00764904" w:rsidRDefault="00764904" w:rsidP="004F2939">
      <w:pPr>
        <w:pStyle w:val="GEFFieldtoFillout"/>
        <w:shd w:val="clear" w:color="auto" w:fill="FFFFFF"/>
        <w:ind w:left="-426"/>
        <w:jc w:val="both"/>
      </w:pPr>
    </w:p>
    <w:p w14:paraId="4E59804D" w14:textId="51D84F9C" w:rsidR="00114D4F" w:rsidRDefault="00B04091" w:rsidP="004F2939">
      <w:pPr>
        <w:pStyle w:val="GEFFieldtoFillout"/>
        <w:shd w:val="clear" w:color="auto" w:fill="FFFFFF"/>
        <w:ind w:left="-426"/>
        <w:jc w:val="both"/>
      </w:pPr>
      <w:r>
        <w:t>The project is intrinsically sustainable</w:t>
      </w:r>
      <w:r w:rsidR="001B1931">
        <w:t>.</w:t>
      </w:r>
      <w:r>
        <w:t xml:space="preserve"> </w:t>
      </w:r>
      <w:r w:rsidR="001B1931">
        <w:t>I</w:t>
      </w:r>
      <w:r>
        <w:t xml:space="preserve">t addresses a </w:t>
      </w:r>
      <w:r w:rsidR="00CA70C5">
        <w:t xml:space="preserve">future need that is (a) recurring and (b) imposed on Mauritius by international treaty (UNFCCC) requirements – that of a periodically updated national GHG inventory that informs National Communications and BURs. </w:t>
      </w:r>
      <w:r w:rsidR="003A3992">
        <w:t xml:space="preserve">By not only improving the quality of the inventory (through, for example, the development of nationally-calibrated emission factors) but also by improving the </w:t>
      </w:r>
      <w:r w:rsidR="003A3992" w:rsidRPr="003A3992">
        <w:rPr>
          <w:i/>
        </w:rPr>
        <w:t>process</w:t>
      </w:r>
      <w:r w:rsidR="003A3992">
        <w:t xml:space="preserve"> by which the inventory is </w:t>
      </w:r>
      <w:r w:rsidR="004C0BC5">
        <w:t xml:space="preserve">compiled and by building the </w:t>
      </w:r>
      <w:r w:rsidR="004C0BC5" w:rsidRPr="004C0BC5">
        <w:rPr>
          <w:i/>
        </w:rPr>
        <w:t>capacities</w:t>
      </w:r>
      <w:r w:rsidR="004C0BC5">
        <w:t xml:space="preserve"> of relevant institutions to contribute to the inventory and to better incorporate use of the inventory to inform other policy development/implementation needs, the project will ensure that its benefits are sustained into the future.</w:t>
      </w:r>
    </w:p>
    <w:p w14:paraId="6A32418B" w14:textId="2509548E" w:rsidR="001B1931" w:rsidRDefault="001B1931" w:rsidP="004F2939">
      <w:pPr>
        <w:pStyle w:val="GEFFieldtoFillout"/>
        <w:shd w:val="clear" w:color="auto" w:fill="FFFFFF"/>
        <w:ind w:left="-426"/>
        <w:jc w:val="both"/>
      </w:pPr>
    </w:p>
    <w:p w14:paraId="71FD8401" w14:textId="5F711CB5" w:rsidR="001B1931" w:rsidRPr="008C26C8" w:rsidRDefault="001B1931" w:rsidP="004F2939">
      <w:pPr>
        <w:pStyle w:val="GEFFieldtoFillout"/>
        <w:shd w:val="clear" w:color="auto" w:fill="FFFFFF"/>
        <w:ind w:left="-426"/>
        <w:jc w:val="both"/>
      </w:pPr>
      <w:r>
        <w:t xml:space="preserve">The project has high scale-up potential. Building on their experience and expertise developed during the project, Mauritian stakeholders can apply similar approaches to developing Tier 2 and Tier 3 emission factors for other sectors and sub-sectors, as well as improving activity data where required (e.g. in the marine transport sub-sector and the liquid wastewater sector). Emission factors, allometric equations and other outputs of the project will be uploaded to relevant databases (e.g. the IPCC emission factor database, the </w:t>
      </w:r>
      <w:proofErr w:type="spellStart"/>
      <w:r>
        <w:t>GlobAllomeTree</w:t>
      </w:r>
      <w:proofErr w:type="spellEnd"/>
      <w:r>
        <w:t xml:space="preserve"> database, etc.) for application elsewhere.  </w:t>
      </w:r>
    </w:p>
    <w:p w14:paraId="1E44F894" w14:textId="77777777" w:rsidR="0092560C" w:rsidRPr="001731CE" w:rsidRDefault="0092560C" w:rsidP="004F2939">
      <w:pPr>
        <w:pStyle w:val="GEFFieldtoFillout"/>
        <w:shd w:val="clear" w:color="auto" w:fill="FFFFFF"/>
        <w:ind w:left="-426"/>
      </w:pPr>
    </w:p>
    <w:p w14:paraId="57010D3F" w14:textId="77777777" w:rsidR="00A02DE3" w:rsidRPr="001731CE" w:rsidRDefault="00A02DE3" w:rsidP="004F2939">
      <w:pPr>
        <w:pStyle w:val="GEFFieldtoFillout"/>
        <w:shd w:val="clear" w:color="auto" w:fill="FFFFFF"/>
        <w:ind w:left="-426"/>
      </w:pPr>
      <w:r w:rsidRPr="001731CE">
        <w:t xml:space="preserve">1b. </w:t>
      </w:r>
      <w:r w:rsidRPr="001731CE">
        <w:rPr>
          <w:i/>
        </w:rPr>
        <w:t>Project Map and Coordinates.</w:t>
      </w:r>
      <w:r w:rsidRPr="001731CE">
        <w:t xml:space="preserve"> </w:t>
      </w:r>
      <w:r w:rsidR="002A30EB" w:rsidRPr="001731CE">
        <w:t xml:space="preserve">Please provide geo-referenced information </w:t>
      </w:r>
      <w:r w:rsidR="00467F8A" w:rsidRPr="001731CE">
        <w:t xml:space="preserve">and map </w:t>
      </w:r>
      <w:r w:rsidR="002A30EB" w:rsidRPr="001731CE">
        <w:t>where the project interventions will take place.</w:t>
      </w:r>
      <w:r w:rsidRPr="001731CE">
        <w:t xml:space="preserve"> </w:t>
      </w:r>
    </w:p>
    <w:p w14:paraId="5E660EAA" w14:textId="420E4D04" w:rsidR="0092560C" w:rsidRDefault="0092560C" w:rsidP="007160FC">
      <w:pPr>
        <w:ind w:left="322"/>
      </w:pPr>
    </w:p>
    <w:p w14:paraId="16B05DE1" w14:textId="53432CCE" w:rsidR="005A6F74" w:rsidRPr="000846DD" w:rsidRDefault="00401019" w:rsidP="004F2939">
      <w:pPr>
        <w:ind w:left="-426"/>
        <w:jc w:val="both"/>
        <w:rPr>
          <w:sz w:val="22"/>
          <w:szCs w:val="22"/>
        </w:rPr>
      </w:pPr>
      <w:r w:rsidRPr="000846DD">
        <w:rPr>
          <w:sz w:val="22"/>
          <w:szCs w:val="22"/>
        </w:rPr>
        <w:t>In general</w:t>
      </w:r>
      <w:r w:rsidR="00AE7530" w:rsidRPr="000846DD">
        <w:rPr>
          <w:sz w:val="22"/>
          <w:szCs w:val="22"/>
        </w:rPr>
        <w:t xml:space="preserve">, the project is not specifically focused on particular geographical regions or sites. Some project Outputs (e.g. Output 1.1: development of fuel emission factors, or Output </w:t>
      </w:r>
      <w:r w:rsidR="009274B1">
        <w:rPr>
          <w:sz w:val="22"/>
          <w:szCs w:val="22"/>
        </w:rPr>
        <w:t>3.1</w:t>
      </w:r>
      <w:r w:rsidR="00AE7530" w:rsidRPr="000846DD">
        <w:rPr>
          <w:sz w:val="22"/>
          <w:szCs w:val="22"/>
        </w:rPr>
        <w:t xml:space="preserve">: training on the GHG inventory) have no </w:t>
      </w:r>
      <w:r w:rsidRPr="000846DD">
        <w:rPr>
          <w:sz w:val="22"/>
          <w:szCs w:val="22"/>
        </w:rPr>
        <w:t>spatial dimension</w:t>
      </w:r>
      <w:r w:rsidR="00AE7530" w:rsidRPr="000846DD">
        <w:rPr>
          <w:sz w:val="22"/>
          <w:szCs w:val="22"/>
        </w:rPr>
        <w:t xml:space="preserve">. Other Outputs (e.g. Output </w:t>
      </w:r>
      <w:r w:rsidRPr="000846DD">
        <w:rPr>
          <w:sz w:val="22"/>
          <w:szCs w:val="22"/>
        </w:rPr>
        <w:t>1.2: development of Tier 3 emission factors for the electricity sub-sector, or Output 1.3: d</w:t>
      </w:r>
      <w:r w:rsidR="00AE7530" w:rsidRPr="000846DD">
        <w:rPr>
          <w:sz w:val="22"/>
          <w:szCs w:val="22"/>
        </w:rPr>
        <w:t>evelopment of Tier 2 activity data for Mauritius’s land transport sector</w:t>
      </w:r>
      <w:r w:rsidRPr="000846DD">
        <w:rPr>
          <w:sz w:val="22"/>
          <w:szCs w:val="22"/>
        </w:rPr>
        <w:t xml:space="preserve">) do have an underlying geographical basis (e.g. the locations of power plants and of transport routes) but </w:t>
      </w:r>
      <w:r w:rsidR="00993DEB" w:rsidRPr="000846DD">
        <w:rPr>
          <w:sz w:val="22"/>
          <w:szCs w:val="22"/>
        </w:rPr>
        <w:t>this geography does not</w:t>
      </w:r>
      <w:r w:rsidRPr="000846DD">
        <w:rPr>
          <w:sz w:val="22"/>
          <w:szCs w:val="22"/>
        </w:rPr>
        <w:t xml:space="preserve"> </w:t>
      </w:r>
      <w:r w:rsidR="003A3E62" w:rsidRPr="000846DD">
        <w:rPr>
          <w:sz w:val="22"/>
          <w:szCs w:val="22"/>
        </w:rPr>
        <w:t>have a bearing on the project’s impacts or benefits. Nonetheless, Figure 3 below provides a map of the national electricity grid of Mauritius – indicating the locations of the country’s 9 thermal power plants – and also shows the route of Phases 1 and 2 of the Metro Express light railway system.</w:t>
      </w:r>
    </w:p>
    <w:p w14:paraId="488B416B" w14:textId="77777777" w:rsidR="005A6F74" w:rsidRPr="000846DD" w:rsidRDefault="005A6F74" w:rsidP="004F2939">
      <w:pPr>
        <w:ind w:left="-426"/>
      </w:pPr>
    </w:p>
    <w:p w14:paraId="30F62674" w14:textId="66D4BB4B" w:rsidR="008C0CF7" w:rsidRPr="000846DD" w:rsidRDefault="008C0CF7" w:rsidP="004F2939">
      <w:pPr>
        <w:ind w:left="-426"/>
        <w:jc w:val="both"/>
        <w:rPr>
          <w:sz w:val="22"/>
          <w:szCs w:val="22"/>
          <w:u w:val="single"/>
        </w:rPr>
      </w:pPr>
      <w:r w:rsidRPr="000846DD">
        <w:rPr>
          <w:sz w:val="22"/>
          <w:szCs w:val="22"/>
          <w:u w:val="single"/>
        </w:rPr>
        <w:t xml:space="preserve">Figure 3: Map of </w:t>
      </w:r>
      <w:r w:rsidR="003A3E62" w:rsidRPr="000846DD">
        <w:rPr>
          <w:sz w:val="22"/>
          <w:szCs w:val="22"/>
          <w:u w:val="single"/>
        </w:rPr>
        <w:t xml:space="preserve">the Main Island of </w:t>
      </w:r>
      <w:r w:rsidRPr="000846DD">
        <w:rPr>
          <w:sz w:val="22"/>
          <w:szCs w:val="22"/>
          <w:u w:val="single"/>
        </w:rPr>
        <w:t xml:space="preserve">Mauritius (showing </w:t>
      </w:r>
      <w:r w:rsidR="00A44A12" w:rsidRPr="000846DD">
        <w:rPr>
          <w:sz w:val="22"/>
          <w:szCs w:val="22"/>
          <w:u w:val="single"/>
        </w:rPr>
        <w:t>the locations of thermal power stations and the Metro Express)</w:t>
      </w:r>
    </w:p>
    <w:p w14:paraId="1C7C3A65" w14:textId="77777777" w:rsidR="00A44A12" w:rsidRDefault="00A44A12" w:rsidP="007160FC">
      <w:pPr>
        <w:ind w:left="322"/>
      </w:pPr>
    </w:p>
    <w:p w14:paraId="76C69A00" w14:textId="77777777" w:rsidR="000B54BD" w:rsidRDefault="008C0CF7" w:rsidP="00CF2859">
      <w:pPr>
        <w:ind w:left="322"/>
      </w:pPr>
      <w:r>
        <w:rPr>
          <w:noProof/>
          <w:lang w:val="en-US"/>
        </w:rPr>
        <w:lastRenderedPageBreak/>
        <w:drawing>
          <wp:inline distT="0" distB="0" distL="0" distR="0" wp14:anchorId="1DD397F6" wp14:editId="41382CB5">
            <wp:extent cx="3580354" cy="4343678"/>
            <wp:effectExtent l="12700" t="12700" r="13970" b="12700"/>
            <wp:docPr id="18596" name="Picture 4">
              <a:extLst xmlns:a="http://schemas.openxmlformats.org/drawingml/2006/main">
                <a:ext uri="{FF2B5EF4-FFF2-40B4-BE49-F238E27FC236}">
                  <a16:creationId xmlns:a16="http://schemas.microsoft.com/office/drawing/2014/main" id="{0A397AFB-06B1-9340-8230-37F5769996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6" name="Picture 4">
                      <a:extLst>
                        <a:ext uri="{FF2B5EF4-FFF2-40B4-BE49-F238E27FC236}">
                          <a16:creationId xmlns:a16="http://schemas.microsoft.com/office/drawing/2014/main" id="{0A397AFB-06B1-9340-8230-37F5769996B6}"/>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587082" cy="4351841"/>
                    </a:xfrm>
                    <a:prstGeom prst="rect">
                      <a:avLst/>
                    </a:prstGeom>
                    <a:noFill/>
                    <a:ln w="15875">
                      <a:solidFill>
                        <a:srgbClr val="000000"/>
                      </a:solidFill>
                      <a:miter lim="800000"/>
                      <a:headEnd/>
                      <a:tailEnd/>
                    </a:ln>
                  </pic:spPr>
                </pic:pic>
              </a:graphicData>
            </a:graphic>
          </wp:inline>
        </w:drawing>
      </w:r>
    </w:p>
    <w:p w14:paraId="3E769182" w14:textId="77777777" w:rsidR="000B54BD" w:rsidRDefault="000B54BD" w:rsidP="007160FC">
      <w:pPr>
        <w:ind w:left="322"/>
      </w:pPr>
    </w:p>
    <w:p w14:paraId="0C4D755D" w14:textId="3C0EE2B1" w:rsidR="00DF2DB3" w:rsidRPr="004F2939" w:rsidRDefault="00870816" w:rsidP="004F2939">
      <w:pPr>
        <w:ind w:left="-426"/>
        <w:rPr>
          <w:sz w:val="22"/>
          <w:szCs w:val="22"/>
        </w:rPr>
      </w:pPr>
      <w:r w:rsidRPr="004F2939">
        <w:rPr>
          <w:sz w:val="22"/>
          <w:szCs w:val="22"/>
        </w:rPr>
        <w:t>2.</w:t>
      </w:r>
      <w:r w:rsidRPr="004F2939">
        <w:rPr>
          <w:i/>
          <w:sz w:val="22"/>
          <w:szCs w:val="22"/>
        </w:rPr>
        <w:t xml:space="preserve"> </w:t>
      </w:r>
      <w:r w:rsidR="008857BF" w:rsidRPr="004F2939" w:rsidDel="00317C1A">
        <w:rPr>
          <w:i/>
          <w:sz w:val="22"/>
          <w:szCs w:val="22"/>
        </w:rPr>
        <w:t>Stakeholders.</w:t>
      </w:r>
      <w:r w:rsidR="008857BF" w:rsidRPr="004F2939">
        <w:rPr>
          <w:sz w:val="22"/>
          <w:szCs w:val="22"/>
        </w:rPr>
        <w:t xml:space="preserve"> </w:t>
      </w:r>
      <w:r w:rsidR="00545F09" w:rsidRPr="004F2939">
        <w:rPr>
          <w:sz w:val="22"/>
          <w:szCs w:val="22"/>
        </w:rPr>
        <w:t xml:space="preserve">Select the stakeholders that have participated in consultations during the project identification phase: </w:t>
      </w:r>
    </w:p>
    <w:p w14:paraId="04C21C63" w14:textId="77777777" w:rsidR="00754AF9" w:rsidRPr="004F2939" w:rsidRDefault="00754AF9" w:rsidP="007160FC">
      <w:pPr>
        <w:ind w:left="322"/>
        <w:rPr>
          <w:sz w:val="22"/>
          <w:szCs w:val="22"/>
        </w:rPr>
      </w:pPr>
    </w:p>
    <w:p w14:paraId="129C2FF4" w14:textId="5EADBC3E" w:rsidR="00DF2DB3" w:rsidRPr="004F2939" w:rsidRDefault="00545F09" w:rsidP="000B54BD">
      <w:pPr>
        <w:ind w:left="104"/>
        <w:rPr>
          <w:sz w:val="22"/>
          <w:szCs w:val="22"/>
        </w:rPr>
      </w:pPr>
      <w:r w:rsidRPr="004F2939">
        <w:rPr>
          <w:sz w:val="22"/>
          <w:szCs w:val="22"/>
        </w:rPr>
        <w:fldChar w:fldCharType="begin">
          <w:ffData>
            <w:name w:val="IAP_cities"/>
            <w:enabled/>
            <w:calcOnExit w:val="0"/>
            <w:checkBox>
              <w:sizeAuto/>
              <w:default w:val="0"/>
            </w:checkBox>
          </w:ffData>
        </w:fldChar>
      </w:r>
      <w:r w:rsidRPr="004F2939">
        <w:rPr>
          <w:sz w:val="22"/>
          <w:szCs w:val="22"/>
        </w:rPr>
        <w:instrText xml:space="preserve"> FORMCHECKBOX </w:instrText>
      </w:r>
      <w:r w:rsidR="00A755A1">
        <w:rPr>
          <w:sz w:val="22"/>
          <w:szCs w:val="22"/>
        </w:rPr>
      </w:r>
      <w:r w:rsidR="00A755A1">
        <w:rPr>
          <w:sz w:val="22"/>
          <w:szCs w:val="22"/>
        </w:rPr>
        <w:fldChar w:fldCharType="separate"/>
      </w:r>
      <w:r w:rsidRPr="004F2939">
        <w:rPr>
          <w:sz w:val="22"/>
          <w:szCs w:val="22"/>
        </w:rPr>
        <w:fldChar w:fldCharType="end"/>
      </w:r>
      <w:r w:rsidRPr="004F2939">
        <w:rPr>
          <w:sz w:val="22"/>
          <w:szCs w:val="22"/>
        </w:rPr>
        <w:t xml:space="preserve"> Indigenous Peoples and Local Communities;  </w:t>
      </w:r>
      <w:r w:rsidR="00754AF9" w:rsidRPr="004F2939">
        <w:rPr>
          <w:sz w:val="22"/>
          <w:szCs w:val="22"/>
        </w:rPr>
        <w:t xml:space="preserve">(Mauritius does not have </w:t>
      </w:r>
      <w:proofErr w:type="spellStart"/>
      <w:r w:rsidR="00754AF9" w:rsidRPr="004F2939">
        <w:rPr>
          <w:sz w:val="22"/>
          <w:szCs w:val="22"/>
        </w:rPr>
        <w:t>indigeneous</w:t>
      </w:r>
      <w:proofErr w:type="spellEnd"/>
      <w:r w:rsidR="00754AF9" w:rsidRPr="004F2939">
        <w:rPr>
          <w:sz w:val="22"/>
          <w:szCs w:val="22"/>
        </w:rPr>
        <w:t xml:space="preserve"> peoples)</w:t>
      </w:r>
    </w:p>
    <w:p w14:paraId="0CE85BD7" w14:textId="4954B5CC" w:rsidR="00DF2DB3" w:rsidRPr="004F2939" w:rsidRDefault="00984FCD" w:rsidP="000B54BD">
      <w:pPr>
        <w:ind w:left="104"/>
        <w:rPr>
          <w:sz w:val="22"/>
          <w:szCs w:val="22"/>
        </w:rPr>
      </w:pPr>
      <w:r w:rsidRPr="004F2939">
        <w:rPr>
          <w:sz w:val="22"/>
          <w:szCs w:val="22"/>
        </w:rPr>
        <w:fldChar w:fldCharType="begin">
          <w:ffData>
            <w:name w:val="IAP_cities"/>
            <w:enabled/>
            <w:calcOnExit w:val="0"/>
            <w:checkBox>
              <w:sizeAuto/>
              <w:default w:val="1"/>
            </w:checkBox>
          </w:ffData>
        </w:fldChar>
      </w:r>
      <w:bookmarkStart w:id="32" w:name="IAP_cities"/>
      <w:r w:rsidRPr="004F2939">
        <w:rPr>
          <w:sz w:val="22"/>
          <w:szCs w:val="22"/>
        </w:rPr>
        <w:instrText xml:space="preserve"> FORMCHECKBOX </w:instrText>
      </w:r>
      <w:r w:rsidR="00A755A1">
        <w:rPr>
          <w:sz w:val="22"/>
          <w:szCs w:val="22"/>
        </w:rPr>
      </w:r>
      <w:r w:rsidR="00A755A1">
        <w:rPr>
          <w:sz w:val="22"/>
          <w:szCs w:val="22"/>
        </w:rPr>
        <w:fldChar w:fldCharType="separate"/>
      </w:r>
      <w:r w:rsidRPr="004F2939">
        <w:rPr>
          <w:sz w:val="22"/>
          <w:szCs w:val="22"/>
        </w:rPr>
        <w:fldChar w:fldCharType="end"/>
      </w:r>
      <w:bookmarkEnd w:id="32"/>
      <w:r w:rsidR="00503625" w:rsidRPr="004F2939">
        <w:rPr>
          <w:sz w:val="22"/>
          <w:szCs w:val="22"/>
        </w:rPr>
        <w:t xml:space="preserve"> </w:t>
      </w:r>
      <w:r w:rsidR="00545F09" w:rsidRPr="004F2939">
        <w:rPr>
          <w:sz w:val="22"/>
          <w:szCs w:val="22"/>
        </w:rPr>
        <w:t xml:space="preserve">Civil Society Organizations; </w:t>
      </w:r>
    </w:p>
    <w:p w14:paraId="4918036C" w14:textId="533111D5" w:rsidR="00DF2DB3" w:rsidRPr="004F2939" w:rsidRDefault="00984FCD" w:rsidP="000B54BD">
      <w:pPr>
        <w:ind w:left="104"/>
        <w:rPr>
          <w:sz w:val="22"/>
          <w:szCs w:val="22"/>
        </w:rPr>
      </w:pPr>
      <w:r w:rsidRPr="004F2939">
        <w:rPr>
          <w:sz w:val="22"/>
          <w:szCs w:val="22"/>
        </w:rPr>
        <w:fldChar w:fldCharType="begin">
          <w:ffData>
            <w:name w:val=""/>
            <w:enabled/>
            <w:calcOnExit w:val="0"/>
            <w:checkBox>
              <w:sizeAuto/>
              <w:default w:val="1"/>
            </w:checkBox>
          </w:ffData>
        </w:fldChar>
      </w:r>
      <w:r w:rsidRPr="004F2939">
        <w:rPr>
          <w:sz w:val="22"/>
          <w:szCs w:val="22"/>
        </w:rPr>
        <w:instrText xml:space="preserve"> FORMCHECKBOX </w:instrText>
      </w:r>
      <w:r w:rsidR="00A755A1">
        <w:rPr>
          <w:sz w:val="22"/>
          <w:szCs w:val="22"/>
        </w:rPr>
      </w:r>
      <w:r w:rsidR="00A755A1">
        <w:rPr>
          <w:sz w:val="22"/>
          <w:szCs w:val="22"/>
        </w:rPr>
        <w:fldChar w:fldCharType="separate"/>
      </w:r>
      <w:r w:rsidRPr="004F2939">
        <w:rPr>
          <w:sz w:val="22"/>
          <w:szCs w:val="22"/>
        </w:rPr>
        <w:fldChar w:fldCharType="end"/>
      </w:r>
      <w:r w:rsidR="00503625" w:rsidRPr="004F2939">
        <w:rPr>
          <w:sz w:val="22"/>
          <w:szCs w:val="22"/>
        </w:rPr>
        <w:t xml:space="preserve"> </w:t>
      </w:r>
      <w:r w:rsidR="00545F09" w:rsidRPr="004F2939">
        <w:rPr>
          <w:sz w:val="22"/>
          <w:szCs w:val="22"/>
        </w:rPr>
        <w:t xml:space="preserve">Private Sector Entities; </w:t>
      </w:r>
    </w:p>
    <w:p w14:paraId="3948288B" w14:textId="77777777" w:rsidR="00545F09" w:rsidRPr="004F2939" w:rsidRDefault="00545F09" w:rsidP="000B54BD">
      <w:pPr>
        <w:ind w:left="104"/>
        <w:rPr>
          <w:sz w:val="22"/>
          <w:szCs w:val="22"/>
        </w:rPr>
      </w:pPr>
      <w:r w:rsidRPr="004F2939">
        <w:rPr>
          <w:sz w:val="22"/>
          <w:szCs w:val="22"/>
        </w:rPr>
        <w:fldChar w:fldCharType="begin">
          <w:ffData>
            <w:name w:val="IAP_cities"/>
            <w:enabled/>
            <w:calcOnExit w:val="0"/>
            <w:checkBox>
              <w:sizeAuto/>
              <w:default w:val="0"/>
            </w:checkBox>
          </w:ffData>
        </w:fldChar>
      </w:r>
      <w:r w:rsidRPr="004F2939">
        <w:rPr>
          <w:sz w:val="22"/>
          <w:szCs w:val="22"/>
        </w:rPr>
        <w:instrText xml:space="preserve"> FORMCHECKBOX </w:instrText>
      </w:r>
      <w:r w:rsidR="00A755A1">
        <w:rPr>
          <w:sz w:val="22"/>
          <w:szCs w:val="22"/>
        </w:rPr>
      </w:r>
      <w:r w:rsidR="00A755A1">
        <w:rPr>
          <w:sz w:val="22"/>
          <w:szCs w:val="22"/>
        </w:rPr>
        <w:fldChar w:fldCharType="separate"/>
      </w:r>
      <w:r w:rsidRPr="004F2939">
        <w:rPr>
          <w:sz w:val="22"/>
          <w:szCs w:val="22"/>
        </w:rPr>
        <w:fldChar w:fldCharType="end"/>
      </w:r>
      <w:r w:rsidR="00503625" w:rsidRPr="004F2939">
        <w:rPr>
          <w:sz w:val="22"/>
          <w:szCs w:val="22"/>
        </w:rPr>
        <w:t xml:space="preserve"> </w:t>
      </w:r>
      <w:r w:rsidRPr="004F2939">
        <w:rPr>
          <w:sz w:val="22"/>
          <w:szCs w:val="22"/>
        </w:rPr>
        <w:t xml:space="preserve">If None of the above, please explain why. </w:t>
      </w:r>
    </w:p>
    <w:p w14:paraId="7AEA11D0" w14:textId="77777777" w:rsidR="00754AF9" w:rsidRPr="000B54BD" w:rsidRDefault="00754AF9" w:rsidP="000B54BD">
      <w:pPr>
        <w:ind w:left="104"/>
        <w:rPr>
          <w:sz w:val="22"/>
          <w:szCs w:val="22"/>
        </w:rPr>
      </w:pPr>
    </w:p>
    <w:p w14:paraId="12FDCEC2" w14:textId="06E9CFE8" w:rsidR="00103D7D" w:rsidRPr="000B54BD" w:rsidRDefault="00545F09" w:rsidP="000B54BD">
      <w:pPr>
        <w:ind w:left="104"/>
        <w:rPr>
          <w:sz w:val="22"/>
          <w:szCs w:val="22"/>
        </w:rPr>
      </w:pPr>
      <w:r w:rsidRPr="000B54BD">
        <w:rPr>
          <w:sz w:val="22"/>
          <w:szCs w:val="22"/>
        </w:rPr>
        <w:t xml:space="preserve">In addition, provide indicative information on how stakeholders, including civil society and indigenous peoples, will be engaged in the project preparation, and their respective roles and means of engagement. </w:t>
      </w:r>
    </w:p>
    <w:p w14:paraId="07AD7F8A" w14:textId="77777777" w:rsidR="000B54BD" w:rsidRDefault="000B54BD" w:rsidP="000B54BD">
      <w:pPr>
        <w:ind w:left="104"/>
      </w:pPr>
    </w:p>
    <w:p w14:paraId="19B455C4" w14:textId="4B81C313" w:rsidR="00103D7D" w:rsidRPr="000B54BD" w:rsidRDefault="00103D7D" w:rsidP="000B54BD">
      <w:pPr>
        <w:ind w:left="-426"/>
        <w:rPr>
          <w:sz w:val="22"/>
          <w:szCs w:val="22"/>
          <w:u w:val="single"/>
        </w:rPr>
      </w:pPr>
      <w:r w:rsidRPr="000B54BD">
        <w:rPr>
          <w:sz w:val="22"/>
          <w:szCs w:val="22"/>
          <w:u w:val="single"/>
        </w:rPr>
        <w:t xml:space="preserve">Table 3: </w:t>
      </w:r>
      <w:r w:rsidR="002659F4" w:rsidRPr="000B54BD">
        <w:rPr>
          <w:sz w:val="22"/>
          <w:szCs w:val="22"/>
          <w:u w:val="single"/>
        </w:rPr>
        <w:t>Stakeholders Consulted During the Project Identification Phase</w:t>
      </w:r>
      <w:r w:rsidR="00E6541E">
        <w:rPr>
          <w:rStyle w:val="FootnoteReference"/>
          <w:sz w:val="22"/>
          <w:szCs w:val="22"/>
          <w:u w:val="single"/>
        </w:rPr>
        <w:footnoteReference w:id="8"/>
      </w:r>
    </w:p>
    <w:p w14:paraId="2A5481AA" w14:textId="77777777" w:rsidR="00103D7D" w:rsidRPr="00103D7D" w:rsidRDefault="00103D7D" w:rsidP="00103D7D"/>
    <w:tbl>
      <w:tblPr>
        <w:tblStyle w:val="TableGrid"/>
        <w:tblW w:w="9909" w:type="dxa"/>
        <w:tblInd w:w="-289" w:type="dxa"/>
        <w:tblLook w:val="04A0" w:firstRow="1" w:lastRow="0" w:firstColumn="1" w:lastColumn="0" w:noHBand="0" w:noVBand="1"/>
      </w:tblPr>
      <w:tblGrid>
        <w:gridCol w:w="1702"/>
        <w:gridCol w:w="3969"/>
        <w:gridCol w:w="4238"/>
      </w:tblGrid>
      <w:tr w:rsidR="00207057" w:rsidRPr="00F90C35" w14:paraId="1573CE1F" w14:textId="77777777" w:rsidTr="00C32A71">
        <w:tc>
          <w:tcPr>
            <w:tcW w:w="1702" w:type="dxa"/>
            <w:shd w:val="clear" w:color="auto" w:fill="D9D9D9"/>
            <w:vAlign w:val="center"/>
          </w:tcPr>
          <w:p w14:paraId="305279E6" w14:textId="2F4E6F65" w:rsidR="00207057" w:rsidRPr="00F90C35" w:rsidRDefault="00207057" w:rsidP="00207057">
            <w:pPr>
              <w:jc w:val="center"/>
              <w:rPr>
                <w:b/>
                <w:sz w:val="18"/>
                <w:szCs w:val="18"/>
              </w:rPr>
            </w:pPr>
            <w:r w:rsidRPr="00F90C35">
              <w:rPr>
                <w:b/>
                <w:sz w:val="18"/>
                <w:szCs w:val="18"/>
              </w:rPr>
              <w:t xml:space="preserve">Stakeholders Consulted During </w:t>
            </w:r>
            <w:r w:rsidR="00FC6DAA">
              <w:rPr>
                <w:b/>
                <w:sz w:val="18"/>
                <w:szCs w:val="18"/>
              </w:rPr>
              <w:t>Project Identification</w:t>
            </w:r>
          </w:p>
        </w:tc>
        <w:tc>
          <w:tcPr>
            <w:tcW w:w="3969" w:type="dxa"/>
            <w:shd w:val="clear" w:color="auto" w:fill="D9D9D9"/>
            <w:vAlign w:val="center"/>
          </w:tcPr>
          <w:p w14:paraId="471DBBF1" w14:textId="37CF15D0" w:rsidR="00207057" w:rsidRPr="00F90C35" w:rsidRDefault="00207057" w:rsidP="00207057">
            <w:pPr>
              <w:jc w:val="center"/>
              <w:rPr>
                <w:b/>
                <w:sz w:val="18"/>
                <w:szCs w:val="18"/>
              </w:rPr>
            </w:pPr>
            <w:r w:rsidRPr="00F90C35">
              <w:rPr>
                <w:b/>
                <w:sz w:val="18"/>
                <w:szCs w:val="18"/>
              </w:rPr>
              <w:t>Stakeholder Description</w:t>
            </w:r>
          </w:p>
        </w:tc>
        <w:tc>
          <w:tcPr>
            <w:tcW w:w="4238" w:type="dxa"/>
            <w:shd w:val="clear" w:color="auto" w:fill="D9D9D9"/>
            <w:vAlign w:val="center"/>
          </w:tcPr>
          <w:p w14:paraId="51DFE57D" w14:textId="6E946DBE" w:rsidR="00207057" w:rsidRPr="00845E7B" w:rsidRDefault="00207057" w:rsidP="00207057">
            <w:pPr>
              <w:jc w:val="center"/>
              <w:rPr>
                <w:b/>
                <w:sz w:val="18"/>
                <w:szCs w:val="18"/>
              </w:rPr>
            </w:pPr>
            <w:r w:rsidRPr="00845E7B">
              <w:rPr>
                <w:b/>
                <w:sz w:val="18"/>
                <w:szCs w:val="18"/>
              </w:rPr>
              <w:t>Stakeholder Role During Project Preparation</w:t>
            </w:r>
            <w:r w:rsidR="002D0A25">
              <w:rPr>
                <w:b/>
                <w:sz w:val="18"/>
                <w:szCs w:val="18"/>
              </w:rPr>
              <w:t xml:space="preserve"> (PPG)</w:t>
            </w:r>
          </w:p>
        </w:tc>
      </w:tr>
      <w:tr w:rsidR="00207057" w:rsidRPr="00F90C35" w14:paraId="5C576994" w14:textId="77777777" w:rsidTr="00207057">
        <w:tc>
          <w:tcPr>
            <w:tcW w:w="9909" w:type="dxa"/>
            <w:gridSpan w:val="3"/>
            <w:shd w:val="clear" w:color="auto" w:fill="D9D9D9" w:themeFill="background1" w:themeFillShade="D9"/>
            <w:vAlign w:val="center"/>
          </w:tcPr>
          <w:p w14:paraId="2E6B1027" w14:textId="649E5220" w:rsidR="00207057" w:rsidRPr="00F90C35" w:rsidRDefault="00207057" w:rsidP="00207057">
            <w:pPr>
              <w:rPr>
                <w:i/>
                <w:sz w:val="18"/>
                <w:szCs w:val="18"/>
              </w:rPr>
            </w:pPr>
            <w:r w:rsidRPr="00F90C35">
              <w:rPr>
                <w:i/>
                <w:sz w:val="18"/>
                <w:szCs w:val="18"/>
              </w:rPr>
              <w:t>Public Sector – government entities and parastatals</w:t>
            </w:r>
          </w:p>
        </w:tc>
      </w:tr>
      <w:tr w:rsidR="00207057" w:rsidRPr="00F90C35" w14:paraId="137B7A7B" w14:textId="77777777" w:rsidTr="00C32A71">
        <w:tc>
          <w:tcPr>
            <w:tcW w:w="1702" w:type="dxa"/>
            <w:vAlign w:val="center"/>
          </w:tcPr>
          <w:p w14:paraId="755F0023" w14:textId="33409C21" w:rsidR="00207057" w:rsidRPr="00F90C35" w:rsidRDefault="00207057" w:rsidP="00030BF9">
            <w:pPr>
              <w:rPr>
                <w:sz w:val="18"/>
                <w:szCs w:val="18"/>
              </w:rPr>
            </w:pPr>
            <w:r w:rsidRPr="00F90C35">
              <w:rPr>
                <w:sz w:val="18"/>
                <w:szCs w:val="18"/>
              </w:rPr>
              <w:t xml:space="preserve">Ministry of Social Security, National Solidarity, and Environment and </w:t>
            </w:r>
            <w:r w:rsidRPr="00F90C35">
              <w:rPr>
                <w:sz w:val="18"/>
                <w:szCs w:val="18"/>
              </w:rPr>
              <w:lastRenderedPageBreak/>
              <w:t>Sustainable Development (</w:t>
            </w:r>
            <w:proofErr w:type="spellStart"/>
            <w:r w:rsidRPr="00F90C35">
              <w:rPr>
                <w:sz w:val="18"/>
                <w:szCs w:val="18"/>
              </w:rPr>
              <w:t>MoSSNSESD</w:t>
            </w:r>
            <w:proofErr w:type="spellEnd"/>
            <w:r w:rsidRPr="00F90C35">
              <w:rPr>
                <w:sz w:val="18"/>
                <w:szCs w:val="18"/>
              </w:rPr>
              <w:t>)</w:t>
            </w:r>
          </w:p>
        </w:tc>
        <w:tc>
          <w:tcPr>
            <w:tcW w:w="3969" w:type="dxa"/>
            <w:vAlign w:val="center"/>
          </w:tcPr>
          <w:p w14:paraId="11047B57" w14:textId="75DA4CAE" w:rsidR="00207057" w:rsidRPr="007715E7" w:rsidRDefault="007715E7" w:rsidP="00030BF9">
            <w:pPr>
              <w:rPr>
                <w:sz w:val="18"/>
                <w:szCs w:val="18"/>
              </w:rPr>
            </w:pPr>
            <w:proofErr w:type="spellStart"/>
            <w:r w:rsidRPr="007715E7">
              <w:rPr>
                <w:sz w:val="18"/>
                <w:szCs w:val="18"/>
              </w:rPr>
              <w:lastRenderedPageBreak/>
              <w:t>Mo</w:t>
            </w:r>
            <w:r w:rsidR="00A93E14">
              <w:rPr>
                <w:sz w:val="18"/>
                <w:szCs w:val="18"/>
              </w:rPr>
              <w:t>SSNSESD</w:t>
            </w:r>
            <w:proofErr w:type="spellEnd"/>
            <w:r w:rsidRPr="007715E7">
              <w:rPr>
                <w:sz w:val="18"/>
                <w:szCs w:val="18"/>
              </w:rPr>
              <w:t xml:space="preserve"> serves as the UNFCCC Focal Point. It coordinates Mauritius’s actions on climate change, including the NDC</w:t>
            </w:r>
            <w:r>
              <w:rPr>
                <w:sz w:val="18"/>
                <w:szCs w:val="18"/>
              </w:rPr>
              <w:t xml:space="preserve">, the National </w:t>
            </w:r>
            <w:r>
              <w:rPr>
                <w:sz w:val="18"/>
                <w:szCs w:val="18"/>
              </w:rPr>
              <w:lastRenderedPageBreak/>
              <w:t>Communications and the BURs</w:t>
            </w:r>
            <w:r w:rsidRPr="007715E7">
              <w:rPr>
                <w:sz w:val="18"/>
                <w:szCs w:val="18"/>
              </w:rPr>
              <w:t>, through its Climate Change Division (CCD).</w:t>
            </w:r>
          </w:p>
        </w:tc>
        <w:tc>
          <w:tcPr>
            <w:tcW w:w="4238" w:type="dxa"/>
            <w:vAlign w:val="center"/>
          </w:tcPr>
          <w:p w14:paraId="7336AC43" w14:textId="68E300B1" w:rsidR="003D1279" w:rsidRPr="00F90C35" w:rsidRDefault="002D0A25" w:rsidP="003F6EA3">
            <w:pPr>
              <w:rPr>
                <w:sz w:val="18"/>
                <w:szCs w:val="18"/>
              </w:rPr>
            </w:pPr>
            <w:r>
              <w:rPr>
                <w:sz w:val="18"/>
                <w:szCs w:val="18"/>
              </w:rPr>
              <w:lastRenderedPageBreak/>
              <w:t>CCD will coordinate the project preparation process</w:t>
            </w:r>
            <w:r w:rsidR="008C2761">
              <w:rPr>
                <w:sz w:val="18"/>
                <w:szCs w:val="18"/>
              </w:rPr>
              <w:t xml:space="preserve">, including stakeholder consultations, mobilisation of co-finance and detailed project design. CCD will also supervise the </w:t>
            </w:r>
            <w:r w:rsidR="003D1279">
              <w:rPr>
                <w:sz w:val="18"/>
                <w:szCs w:val="18"/>
              </w:rPr>
              <w:t xml:space="preserve">policy and institutional review to be </w:t>
            </w:r>
            <w:r w:rsidR="003D1279">
              <w:rPr>
                <w:sz w:val="18"/>
                <w:szCs w:val="18"/>
              </w:rPr>
              <w:lastRenderedPageBreak/>
              <w:t xml:space="preserve">undertaken during the PPG phase that will inform roadmap support activities to be </w:t>
            </w:r>
            <w:r w:rsidR="002F46E7">
              <w:rPr>
                <w:sz w:val="18"/>
                <w:szCs w:val="18"/>
              </w:rPr>
              <w:t>included</w:t>
            </w:r>
            <w:r w:rsidR="003D1279">
              <w:rPr>
                <w:sz w:val="18"/>
                <w:szCs w:val="18"/>
              </w:rPr>
              <w:t xml:space="preserve"> under Output 2.1. As the Executing Entity of the BUR-1, NDC-2 and UNEP-GEF NAMAs project, CCD will play a key role in coordinating the </w:t>
            </w:r>
            <w:r w:rsidR="003F6EA3">
              <w:rPr>
                <w:sz w:val="18"/>
                <w:szCs w:val="18"/>
              </w:rPr>
              <w:t>‘ecosystem’ of MRV-related projects and ensuring that the GEF project maximises synergies with them.</w:t>
            </w:r>
          </w:p>
        </w:tc>
      </w:tr>
      <w:tr w:rsidR="00207057" w:rsidRPr="00F90C35" w14:paraId="294BE0B7" w14:textId="77777777" w:rsidTr="00C32A71">
        <w:tc>
          <w:tcPr>
            <w:tcW w:w="1702" w:type="dxa"/>
            <w:vAlign w:val="center"/>
          </w:tcPr>
          <w:p w14:paraId="03168925" w14:textId="7E658369" w:rsidR="00207057" w:rsidRPr="00F90C35" w:rsidRDefault="00207057" w:rsidP="00030BF9">
            <w:pPr>
              <w:rPr>
                <w:sz w:val="18"/>
                <w:szCs w:val="18"/>
              </w:rPr>
            </w:pPr>
            <w:r w:rsidRPr="00F90C35">
              <w:rPr>
                <w:sz w:val="18"/>
                <w:szCs w:val="18"/>
              </w:rPr>
              <w:lastRenderedPageBreak/>
              <w:t>National Transport Authority (NTA)</w:t>
            </w:r>
          </w:p>
        </w:tc>
        <w:tc>
          <w:tcPr>
            <w:tcW w:w="3969" w:type="dxa"/>
            <w:vAlign w:val="center"/>
          </w:tcPr>
          <w:p w14:paraId="36552D18" w14:textId="4BAA1312" w:rsidR="00207057" w:rsidRPr="00F90C35" w:rsidRDefault="00DE46B9" w:rsidP="00030BF9">
            <w:pPr>
              <w:rPr>
                <w:sz w:val="18"/>
                <w:szCs w:val="18"/>
              </w:rPr>
            </w:pPr>
            <w:r w:rsidRPr="00DE46B9">
              <w:rPr>
                <w:sz w:val="18"/>
                <w:szCs w:val="18"/>
              </w:rPr>
              <w:t xml:space="preserve">The NTA is a department operating under the Ministry of Public Infrastructure and Land Transport. It was established under the Road Traffic Act in 1980 and has, as </w:t>
            </w:r>
            <w:r>
              <w:rPr>
                <w:sz w:val="18"/>
                <w:szCs w:val="18"/>
              </w:rPr>
              <w:t xml:space="preserve">its </w:t>
            </w:r>
            <w:r w:rsidRPr="00DE46B9">
              <w:rPr>
                <w:sz w:val="18"/>
                <w:szCs w:val="18"/>
              </w:rPr>
              <w:t>main responsibilit</w:t>
            </w:r>
            <w:r>
              <w:rPr>
                <w:sz w:val="18"/>
                <w:szCs w:val="18"/>
              </w:rPr>
              <w:t>ies</w:t>
            </w:r>
            <w:r w:rsidRPr="00DE46B9">
              <w:rPr>
                <w:sz w:val="18"/>
                <w:szCs w:val="18"/>
              </w:rPr>
              <w:t xml:space="preserve">, the registration </w:t>
            </w:r>
            <w:r>
              <w:rPr>
                <w:sz w:val="18"/>
                <w:szCs w:val="18"/>
              </w:rPr>
              <w:t xml:space="preserve">and licensing </w:t>
            </w:r>
            <w:r w:rsidRPr="00DE46B9">
              <w:rPr>
                <w:sz w:val="18"/>
                <w:szCs w:val="18"/>
              </w:rPr>
              <w:t>of motor vehicles</w:t>
            </w:r>
            <w:r>
              <w:rPr>
                <w:sz w:val="18"/>
                <w:szCs w:val="18"/>
              </w:rPr>
              <w:t>;</w:t>
            </w:r>
            <w:r w:rsidRPr="00DE46B9">
              <w:rPr>
                <w:sz w:val="18"/>
                <w:szCs w:val="18"/>
              </w:rPr>
              <w:t xml:space="preserve"> the regulation and control of road transport</w:t>
            </w:r>
            <w:r>
              <w:rPr>
                <w:sz w:val="18"/>
                <w:szCs w:val="18"/>
              </w:rPr>
              <w:t xml:space="preserve">; </w:t>
            </w:r>
            <w:r w:rsidRPr="00DE46B9">
              <w:rPr>
                <w:sz w:val="18"/>
                <w:szCs w:val="18"/>
              </w:rPr>
              <w:t>monitoring public transport;</w:t>
            </w:r>
            <w:r>
              <w:rPr>
                <w:sz w:val="18"/>
                <w:szCs w:val="18"/>
              </w:rPr>
              <w:t xml:space="preserve"> maintaining</w:t>
            </w:r>
            <w:r w:rsidRPr="00DE46B9">
              <w:rPr>
                <w:sz w:val="18"/>
                <w:szCs w:val="18"/>
              </w:rPr>
              <w:t xml:space="preserve"> statistics relating to motor vehicles; and planning of new transport services.</w:t>
            </w:r>
            <w:r>
              <w:rPr>
                <w:sz w:val="18"/>
                <w:szCs w:val="18"/>
              </w:rPr>
              <w:t xml:space="preserve"> The NTA </w:t>
            </w:r>
            <w:r w:rsidR="00D7434A">
              <w:rPr>
                <w:sz w:val="18"/>
                <w:szCs w:val="18"/>
              </w:rPr>
              <w:t>was the Chair of the 2017 National GHG Inventory Transport Sub-TWG.</w:t>
            </w:r>
          </w:p>
        </w:tc>
        <w:tc>
          <w:tcPr>
            <w:tcW w:w="4238" w:type="dxa"/>
            <w:vAlign w:val="center"/>
          </w:tcPr>
          <w:p w14:paraId="3D7414B9" w14:textId="2A5F1183" w:rsidR="00207057" w:rsidRPr="00F90C35" w:rsidRDefault="00AD2F32" w:rsidP="00030BF9">
            <w:pPr>
              <w:rPr>
                <w:sz w:val="18"/>
                <w:szCs w:val="18"/>
              </w:rPr>
            </w:pPr>
            <w:r>
              <w:rPr>
                <w:sz w:val="18"/>
                <w:szCs w:val="18"/>
              </w:rPr>
              <w:t>The NTA will work with the project preparation team to design a systematic survey programme for the land transport sub-sector (private road vehicles, buses, the Metro Express). This programme will be implemented under Output 1.3 to generate Tier 2 activity data and policy-relevant socio-economic, gender and demographic data.</w:t>
            </w:r>
          </w:p>
        </w:tc>
      </w:tr>
      <w:tr w:rsidR="00207057" w:rsidRPr="00F90C35" w14:paraId="5AC82BCF" w14:textId="77777777" w:rsidTr="00C32A71">
        <w:tc>
          <w:tcPr>
            <w:tcW w:w="1702" w:type="dxa"/>
            <w:vAlign w:val="center"/>
          </w:tcPr>
          <w:p w14:paraId="5EF88859" w14:textId="151C2EA9" w:rsidR="00207057" w:rsidRPr="00F90C35" w:rsidRDefault="00207057" w:rsidP="00030BF9">
            <w:pPr>
              <w:rPr>
                <w:sz w:val="18"/>
                <w:szCs w:val="18"/>
              </w:rPr>
            </w:pPr>
            <w:r w:rsidRPr="00F90C35">
              <w:rPr>
                <w:sz w:val="18"/>
                <w:szCs w:val="18"/>
              </w:rPr>
              <w:t>Central Electricity Board (CEB)</w:t>
            </w:r>
          </w:p>
        </w:tc>
        <w:tc>
          <w:tcPr>
            <w:tcW w:w="3969" w:type="dxa"/>
            <w:vAlign w:val="center"/>
          </w:tcPr>
          <w:p w14:paraId="7E2F897B" w14:textId="42FE7279" w:rsidR="00207057" w:rsidRPr="00F90C35" w:rsidRDefault="00F90C35" w:rsidP="00030BF9">
            <w:pPr>
              <w:rPr>
                <w:sz w:val="18"/>
                <w:szCs w:val="18"/>
              </w:rPr>
            </w:pPr>
            <w:r w:rsidRPr="00F90C35">
              <w:rPr>
                <w:color w:val="000000"/>
                <w:sz w:val="18"/>
                <w:szCs w:val="18"/>
                <w:shd w:val="clear" w:color="auto" w:fill="FFFFFF"/>
              </w:rPr>
              <w:t>CEB is a parastatal body wholly owned by the Government of Mauritius and reporting to the Ministry of Energy and Public Utilities. CEB produces around 40% of the country's total power requirements from its 4 thermal power stations and 8 hydroelectric plants, the remaining 60% being purchased from Independent Power Producers. Currently, it is the sole organisation responsible for the transmission, distribution and supply of electricity to the population.</w:t>
            </w:r>
            <w:r w:rsidR="00D7434A">
              <w:rPr>
                <w:color w:val="000000"/>
                <w:sz w:val="18"/>
                <w:szCs w:val="18"/>
                <w:shd w:val="clear" w:color="auto" w:fill="FFFFFF"/>
              </w:rPr>
              <w:t xml:space="preserve"> CEB </w:t>
            </w:r>
            <w:r w:rsidR="00D7434A">
              <w:rPr>
                <w:sz w:val="18"/>
                <w:szCs w:val="18"/>
              </w:rPr>
              <w:t>was the Chair of the 2017 National GHG Inventory Energy Industries Sub-TWG.</w:t>
            </w:r>
          </w:p>
        </w:tc>
        <w:tc>
          <w:tcPr>
            <w:tcW w:w="4238" w:type="dxa"/>
            <w:vAlign w:val="center"/>
          </w:tcPr>
          <w:p w14:paraId="68CEA621" w14:textId="17709F00" w:rsidR="00207057" w:rsidRPr="00F90C35" w:rsidRDefault="00B74396" w:rsidP="00030BF9">
            <w:pPr>
              <w:rPr>
                <w:sz w:val="18"/>
                <w:szCs w:val="18"/>
              </w:rPr>
            </w:pPr>
            <w:r>
              <w:rPr>
                <w:sz w:val="18"/>
                <w:szCs w:val="18"/>
              </w:rPr>
              <w:t>CEB will work with the project preparation team</w:t>
            </w:r>
            <w:r w:rsidR="00297F14">
              <w:rPr>
                <w:sz w:val="18"/>
                <w:szCs w:val="18"/>
              </w:rPr>
              <w:t xml:space="preserve"> and UoM</w:t>
            </w:r>
            <w:r>
              <w:rPr>
                <w:sz w:val="18"/>
                <w:szCs w:val="18"/>
              </w:rPr>
              <w:t xml:space="preserve"> to develop a data collection and site visit programme for the calculation of Tier 3 emission factors for CEB’s 4 thermal power stations, as well as explore options for an appropriate data and institutional framework (in conjunction with MARENA) for the real-time grid emission factor</w:t>
            </w:r>
            <w:r w:rsidR="000F285E">
              <w:rPr>
                <w:sz w:val="18"/>
                <w:szCs w:val="18"/>
              </w:rPr>
              <w:t>. Both activities will be implemented under Output 1.2.</w:t>
            </w:r>
          </w:p>
        </w:tc>
      </w:tr>
      <w:tr w:rsidR="00207057" w:rsidRPr="00F90C35" w14:paraId="54DA20BB" w14:textId="77777777" w:rsidTr="00C32A71">
        <w:tc>
          <w:tcPr>
            <w:tcW w:w="1702" w:type="dxa"/>
            <w:vAlign w:val="center"/>
          </w:tcPr>
          <w:p w14:paraId="5EEE2931" w14:textId="0F716BF5" w:rsidR="00207057" w:rsidRPr="00F90C35" w:rsidRDefault="00207057" w:rsidP="00030BF9">
            <w:pPr>
              <w:rPr>
                <w:sz w:val="18"/>
                <w:szCs w:val="18"/>
              </w:rPr>
            </w:pPr>
            <w:r w:rsidRPr="00F90C35">
              <w:rPr>
                <w:sz w:val="18"/>
                <w:szCs w:val="18"/>
              </w:rPr>
              <w:t>Mauritius Renewable Energy Agency (MARENA)</w:t>
            </w:r>
          </w:p>
        </w:tc>
        <w:tc>
          <w:tcPr>
            <w:tcW w:w="3969" w:type="dxa"/>
            <w:vAlign w:val="center"/>
          </w:tcPr>
          <w:p w14:paraId="71AF1750" w14:textId="18A586D4" w:rsidR="00207057" w:rsidRPr="00A92C5B" w:rsidRDefault="00715A2A" w:rsidP="00030BF9">
            <w:pPr>
              <w:rPr>
                <w:sz w:val="18"/>
                <w:szCs w:val="18"/>
              </w:rPr>
            </w:pPr>
            <w:r w:rsidRPr="00715A2A">
              <w:rPr>
                <w:bCs/>
                <w:color w:val="000000"/>
                <w:sz w:val="18"/>
                <w:szCs w:val="18"/>
                <w:shd w:val="clear" w:color="auto" w:fill="FFFFFF"/>
              </w:rPr>
              <w:t xml:space="preserve">In line with the </w:t>
            </w:r>
            <w:r>
              <w:rPr>
                <w:bCs/>
                <w:color w:val="000000"/>
                <w:sz w:val="18"/>
                <w:szCs w:val="18"/>
                <w:shd w:val="clear" w:color="auto" w:fill="FFFFFF"/>
              </w:rPr>
              <w:t>g</w:t>
            </w:r>
            <w:r w:rsidRPr="00715A2A">
              <w:rPr>
                <w:bCs/>
                <w:color w:val="000000"/>
                <w:sz w:val="18"/>
                <w:szCs w:val="18"/>
                <w:shd w:val="clear" w:color="auto" w:fill="FFFFFF"/>
              </w:rPr>
              <w:t xml:space="preserve">overnment’s </w:t>
            </w:r>
            <w:r>
              <w:rPr>
                <w:bCs/>
                <w:color w:val="000000"/>
                <w:sz w:val="18"/>
                <w:szCs w:val="18"/>
                <w:shd w:val="clear" w:color="auto" w:fill="FFFFFF"/>
              </w:rPr>
              <w:t>target of increasing</w:t>
            </w:r>
            <w:r w:rsidRPr="00715A2A">
              <w:rPr>
                <w:bCs/>
                <w:color w:val="000000"/>
                <w:sz w:val="18"/>
                <w:szCs w:val="18"/>
                <w:shd w:val="clear" w:color="auto" w:fill="FFFFFF"/>
              </w:rPr>
              <w:t xml:space="preserve"> the share of renewable energy to 35% of the energy mix by 2025 and maintain</w:t>
            </w:r>
            <w:r>
              <w:rPr>
                <w:bCs/>
                <w:color w:val="000000"/>
                <w:sz w:val="18"/>
                <w:szCs w:val="18"/>
                <w:shd w:val="clear" w:color="auto" w:fill="FFFFFF"/>
              </w:rPr>
              <w:t>ing</w:t>
            </w:r>
            <w:r w:rsidRPr="00715A2A">
              <w:rPr>
                <w:bCs/>
                <w:color w:val="000000"/>
                <w:sz w:val="18"/>
                <w:szCs w:val="18"/>
                <w:shd w:val="clear" w:color="auto" w:fill="FFFFFF"/>
              </w:rPr>
              <w:t xml:space="preserve"> it at this target </w:t>
            </w:r>
            <w:r>
              <w:rPr>
                <w:bCs/>
                <w:color w:val="000000"/>
                <w:sz w:val="18"/>
                <w:szCs w:val="18"/>
                <w:shd w:val="clear" w:color="auto" w:fill="FFFFFF"/>
              </w:rPr>
              <w:t>to</w:t>
            </w:r>
            <w:r w:rsidRPr="00715A2A">
              <w:rPr>
                <w:bCs/>
                <w:color w:val="000000"/>
                <w:sz w:val="18"/>
                <w:szCs w:val="18"/>
                <w:shd w:val="clear" w:color="auto" w:fill="FFFFFF"/>
              </w:rPr>
              <w:t xml:space="preserve"> 2030, MARENA </w:t>
            </w:r>
            <w:r>
              <w:rPr>
                <w:bCs/>
                <w:color w:val="000000"/>
                <w:sz w:val="18"/>
                <w:szCs w:val="18"/>
                <w:shd w:val="clear" w:color="auto" w:fill="FFFFFF"/>
              </w:rPr>
              <w:t>was</w:t>
            </w:r>
            <w:r w:rsidRPr="00715A2A">
              <w:rPr>
                <w:bCs/>
                <w:color w:val="000000"/>
                <w:sz w:val="18"/>
                <w:szCs w:val="18"/>
                <w:shd w:val="clear" w:color="auto" w:fill="FFFFFF"/>
              </w:rPr>
              <w:t xml:space="preserve"> set up in 2016 </w:t>
            </w:r>
            <w:r>
              <w:rPr>
                <w:bCs/>
                <w:color w:val="000000"/>
                <w:sz w:val="18"/>
                <w:szCs w:val="18"/>
                <w:shd w:val="clear" w:color="auto" w:fill="FFFFFF"/>
              </w:rPr>
              <w:t xml:space="preserve">with the </w:t>
            </w:r>
            <w:proofErr w:type="spellStart"/>
            <w:r>
              <w:rPr>
                <w:bCs/>
                <w:color w:val="000000"/>
                <w:sz w:val="18"/>
                <w:szCs w:val="18"/>
                <w:shd w:val="clear" w:color="auto" w:fill="FFFFFF"/>
              </w:rPr>
              <w:t>princial</w:t>
            </w:r>
            <w:proofErr w:type="spellEnd"/>
            <w:r w:rsidRPr="00715A2A">
              <w:rPr>
                <w:bCs/>
                <w:color w:val="000000"/>
                <w:sz w:val="18"/>
                <w:szCs w:val="18"/>
                <w:shd w:val="clear" w:color="auto" w:fill="FFFFFF"/>
              </w:rPr>
              <w:t xml:space="preserve"> objective </w:t>
            </w:r>
            <w:r>
              <w:rPr>
                <w:bCs/>
                <w:color w:val="000000"/>
                <w:sz w:val="18"/>
                <w:szCs w:val="18"/>
                <w:shd w:val="clear" w:color="auto" w:fill="FFFFFF"/>
              </w:rPr>
              <w:t xml:space="preserve">of </w:t>
            </w:r>
            <w:r w:rsidRPr="00715A2A">
              <w:rPr>
                <w:bCs/>
                <w:color w:val="000000"/>
                <w:sz w:val="18"/>
                <w:szCs w:val="18"/>
                <w:shd w:val="clear" w:color="auto" w:fill="FFFFFF"/>
              </w:rPr>
              <w:t>promoting the adoption and use of renewable energy.</w:t>
            </w:r>
            <w:r>
              <w:rPr>
                <w:bCs/>
                <w:color w:val="000000"/>
                <w:sz w:val="18"/>
                <w:szCs w:val="18"/>
                <w:shd w:val="clear" w:color="auto" w:fill="FFFFFF"/>
              </w:rPr>
              <w:t xml:space="preserve"> MARENA </w:t>
            </w:r>
            <w:r w:rsidR="00A92C5B" w:rsidRPr="00715A2A">
              <w:rPr>
                <w:color w:val="000000"/>
                <w:sz w:val="18"/>
                <w:szCs w:val="18"/>
                <w:shd w:val="clear" w:color="auto" w:fill="FFFFFF"/>
              </w:rPr>
              <w:t>operates under the Ministry of Energy and Public Utilities.</w:t>
            </w:r>
            <w:r w:rsidR="00A92C5B">
              <w:rPr>
                <w:sz w:val="18"/>
                <w:szCs w:val="18"/>
              </w:rPr>
              <w:t xml:space="preserve"> </w:t>
            </w:r>
          </w:p>
        </w:tc>
        <w:tc>
          <w:tcPr>
            <w:tcW w:w="4238" w:type="dxa"/>
            <w:vAlign w:val="center"/>
          </w:tcPr>
          <w:p w14:paraId="651E4216" w14:textId="0A2C2FC5" w:rsidR="00207057" w:rsidRPr="00F90C35" w:rsidRDefault="000F285E" w:rsidP="00030BF9">
            <w:pPr>
              <w:rPr>
                <w:sz w:val="18"/>
                <w:szCs w:val="18"/>
              </w:rPr>
            </w:pPr>
            <w:r>
              <w:rPr>
                <w:sz w:val="18"/>
                <w:szCs w:val="18"/>
              </w:rPr>
              <w:t>MARENA will support the policy and institutional review to be headed by CCD during project preparation, and will work with CEB to develop a framework for the real-time grid emission factor (to be subsequently implemented under Output 1.2).</w:t>
            </w:r>
          </w:p>
        </w:tc>
      </w:tr>
      <w:tr w:rsidR="00207057" w:rsidRPr="00F90C35" w14:paraId="36062603" w14:textId="77777777" w:rsidTr="00C32A71">
        <w:tc>
          <w:tcPr>
            <w:tcW w:w="1702" w:type="dxa"/>
            <w:vAlign w:val="center"/>
          </w:tcPr>
          <w:p w14:paraId="4C458CA6" w14:textId="6FA7752E" w:rsidR="00207057" w:rsidRPr="00F90C35" w:rsidRDefault="00207057" w:rsidP="00030BF9">
            <w:pPr>
              <w:rPr>
                <w:sz w:val="18"/>
                <w:szCs w:val="18"/>
              </w:rPr>
            </w:pPr>
            <w:r w:rsidRPr="00F90C35">
              <w:rPr>
                <w:sz w:val="18"/>
                <w:szCs w:val="18"/>
              </w:rPr>
              <w:t>Mauritius Cane Industry Authority (MCIA)</w:t>
            </w:r>
          </w:p>
        </w:tc>
        <w:tc>
          <w:tcPr>
            <w:tcW w:w="3969" w:type="dxa"/>
            <w:vAlign w:val="center"/>
          </w:tcPr>
          <w:p w14:paraId="027C5C2E" w14:textId="747A9A7E" w:rsidR="00207057" w:rsidRPr="007955BF" w:rsidRDefault="007955BF" w:rsidP="00030BF9">
            <w:pPr>
              <w:pStyle w:val="Default"/>
              <w:rPr>
                <w:sz w:val="18"/>
                <w:szCs w:val="18"/>
              </w:rPr>
            </w:pPr>
            <w:r w:rsidRPr="007955BF">
              <w:rPr>
                <w:sz w:val="18"/>
                <w:szCs w:val="18"/>
              </w:rPr>
              <w:t xml:space="preserve">MCIA is a government body under the Ministry of Agro Industry and Food Security. Its role is to </w:t>
            </w:r>
            <w:r w:rsidRPr="007955BF">
              <w:rPr>
                <w:color w:val="161616"/>
                <w:sz w:val="18"/>
                <w:szCs w:val="18"/>
              </w:rPr>
              <w:t xml:space="preserve">promote the development of the sugarcane sector and its clusters through policy measures, creating an enabling environment, research and development, and technology transfer. MCIA supports </w:t>
            </w:r>
            <w:r>
              <w:rPr>
                <w:color w:val="161616"/>
                <w:sz w:val="18"/>
                <w:szCs w:val="18"/>
              </w:rPr>
              <w:t>the use of bagasse as a fuel for electricity generation: 3 power plants currently use bagasse in combination with coal and one uses solely bagasse.</w:t>
            </w:r>
            <w:r w:rsidR="00894252">
              <w:rPr>
                <w:color w:val="161616"/>
                <w:sz w:val="18"/>
                <w:szCs w:val="18"/>
              </w:rPr>
              <w:t xml:space="preserve"> </w:t>
            </w:r>
            <w:r w:rsidR="00534BD2">
              <w:rPr>
                <w:color w:val="161616"/>
                <w:sz w:val="18"/>
                <w:szCs w:val="18"/>
              </w:rPr>
              <w:t>MCIA houses the National Air Pollution Monitoring Unit.</w:t>
            </w:r>
          </w:p>
        </w:tc>
        <w:tc>
          <w:tcPr>
            <w:tcW w:w="4238" w:type="dxa"/>
            <w:vAlign w:val="center"/>
          </w:tcPr>
          <w:p w14:paraId="490A9515" w14:textId="24FD744A" w:rsidR="00207057" w:rsidRPr="00F90C35" w:rsidRDefault="0034008F" w:rsidP="00030BF9">
            <w:pPr>
              <w:rPr>
                <w:sz w:val="18"/>
                <w:szCs w:val="18"/>
              </w:rPr>
            </w:pPr>
            <w:r>
              <w:rPr>
                <w:sz w:val="18"/>
                <w:szCs w:val="18"/>
              </w:rPr>
              <w:t>MCIA will work with the project preparation team</w:t>
            </w:r>
            <w:r w:rsidR="00BD173C">
              <w:rPr>
                <w:sz w:val="18"/>
                <w:szCs w:val="18"/>
              </w:rPr>
              <w:t>, UoM</w:t>
            </w:r>
            <w:r>
              <w:rPr>
                <w:sz w:val="18"/>
                <w:szCs w:val="18"/>
              </w:rPr>
              <w:t xml:space="preserve"> and relevant IPPs to develop a data collection and site visit programme for the calculation of Tier 3 emission factors for the 3 thermal power stations that use coal/bagasse in combination. </w:t>
            </w:r>
            <w:r w:rsidR="009756F4">
              <w:rPr>
                <w:sz w:val="18"/>
                <w:szCs w:val="18"/>
              </w:rPr>
              <w:t>MCIA’s National Air Pollution Monitoring Unit will also develop an action plan and budget for all of those power stations that will require the installation of temporary monitoring equipment. This will support the implementation of Output 1.2.</w:t>
            </w:r>
          </w:p>
        </w:tc>
      </w:tr>
      <w:tr w:rsidR="00207057" w:rsidRPr="00F90C35" w14:paraId="05EADDB0" w14:textId="77777777" w:rsidTr="00C32A71">
        <w:tc>
          <w:tcPr>
            <w:tcW w:w="1702" w:type="dxa"/>
            <w:vAlign w:val="center"/>
          </w:tcPr>
          <w:p w14:paraId="04A0CCF4" w14:textId="52A01EC5" w:rsidR="00207057" w:rsidRPr="00F90C35" w:rsidRDefault="00207057" w:rsidP="00030BF9">
            <w:pPr>
              <w:rPr>
                <w:sz w:val="18"/>
                <w:szCs w:val="18"/>
              </w:rPr>
            </w:pPr>
            <w:r w:rsidRPr="00F90C35">
              <w:rPr>
                <w:sz w:val="18"/>
                <w:szCs w:val="18"/>
              </w:rPr>
              <w:t>Forestry Service</w:t>
            </w:r>
            <w:r w:rsidR="00481F41">
              <w:rPr>
                <w:sz w:val="18"/>
                <w:szCs w:val="18"/>
              </w:rPr>
              <w:t xml:space="preserve"> </w:t>
            </w:r>
            <w:r w:rsidR="000A608B">
              <w:rPr>
                <w:sz w:val="18"/>
                <w:szCs w:val="18"/>
              </w:rPr>
              <w:t>(FS)</w:t>
            </w:r>
            <w:r w:rsidRPr="00F90C35">
              <w:rPr>
                <w:sz w:val="18"/>
                <w:szCs w:val="18"/>
              </w:rPr>
              <w:t xml:space="preserve"> </w:t>
            </w:r>
          </w:p>
        </w:tc>
        <w:tc>
          <w:tcPr>
            <w:tcW w:w="3969" w:type="dxa"/>
            <w:vAlign w:val="center"/>
          </w:tcPr>
          <w:p w14:paraId="431B8E0C" w14:textId="2EC33D8B" w:rsidR="00207057" w:rsidRPr="00F90C35" w:rsidRDefault="005F17CD" w:rsidP="00030BF9">
            <w:pPr>
              <w:rPr>
                <w:sz w:val="18"/>
                <w:szCs w:val="18"/>
              </w:rPr>
            </w:pPr>
            <w:r>
              <w:rPr>
                <w:sz w:val="18"/>
                <w:szCs w:val="18"/>
              </w:rPr>
              <w:t xml:space="preserve">FS is a department under the </w:t>
            </w:r>
            <w:r w:rsidR="000A608B" w:rsidRPr="00F90C35">
              <w:rPr>
                <w:sz w:val="18"/>
                <w:szCs w:val="18"/>
              </w:rPr>
              <w:t>Ministry of Agro Industry and Food Security</w:t>
            </w:r>
            <w:r>
              <w:rPr>
                <w:sz w:val="18"/>
                <w:szCs w:val="18"/>
              </w:rPr>
              <w:t xml:space="preserve">. </w:t>
            </w:r>
            <w:r w:rsidR="005E2981">
              <w:rPr>
                <w:sz w:val="18"/>
                <w:szCs w:val="18"/>
              </w:rPr>
              <w:t xml:space="preserve">Its principal responsibility is to manage </w:t>
            </w:r>
            <w:r w:rsidR="005E37CF">
              <w:rPr>
                <w:sz w:val="18"/>
                <w:szCs w:val="18"/>
              </w:rPr>
              <w:t>publicly-owned forestland (22,000 ha)</w:t>
            </w:r>
            <w:r w:rsidR="0073762B">
              <w:rPr>
                <w:sz w:val="18"/>
                <w:szCs w:val="18"/>
              </w:rPr>
              <w:t>, to ensure sustainable services from forest (ecosystem, leisure, timber, etc.) and to undertake periodic forest inventories.</w:t>
            </w:r>
            <w:r w:rsidR="002E491C">
              <w:rPr>
                <w:sz w:val="18"/>
                <w:szCs w:val="18"/>
              </w:rPr>
              <w:t xml:space="preserve"> Together with FAREI, FS was the Chair of the 2017 National GHG Inventory AFOLU Sub-TWG.</w:t>
            </w:r>
          </w:p>
        </w:tc>
        <w:tc>
          <w:tcPr>
            <w:tcW w:w="4238" w:type="dxa"/>
            <w:vAlign w:val="center"/>
          </w:tcPr>
          <w:p w14:paraId="29FDBA90" w14:textId="34DAD5FF" w:rsidR="00207057" w:rsidRPr="00F90C35" w:rsidRDefault="007F338E" w:rsidP="00030BF9">
            <w:pPr>
              <w:rPr>
                <w:sz w:val="18"/>
                <w:szCs w:val="18"/>
              </w:rPr>
            </w:pPr>
            <w:r>
              <w:rPr>
                <w:sz w:val="18"/>
                <w:szCs w:val="18"/>
              </w:rPr>
              <w:t>FS will engage with Business Mauritius and private land owners to develop a programme of site visits to privately-owned forestland</w:t>
            </w:r>
            <w:r w:rsidR="00E94D13">
              <w:rPr>
                <w:sz w:val="18"/>
                <w:szCs w:val="18"/>
              </w:rPr>
              <w:t xml:space="preserve"> and will make internal preparations for developing allometric equations, root-to-shoot ratios and carbon density factors</w:t>
            </w:r>
            <w:r w:rsidR="00951763">
              <w:rPr>
                <w:sz w:val="18"/>
                <w:szCs w:val="18"/>
              </w:rPr>
              <w:t xml:space="preserve">, potentially stratified across different ecological zones. This will inform the implementation of Output </w:t>
            </w:r>
            <w:r w:rsidR="00127C6D">
              <w:rPr>
                <w:sz w:val="18"/>
                <w:szCs w:val="18"/>
              </w:rPr>
              <w:t>1.5.</w:t>
            </w:r>
          </w:p>
        </w:tc>
      </w:tr>
      <w:tr w:rsidR="00207057" w:rsidRPr="00F90C35" w14:paraId="78EE2507" w14:textId="77777777" w:rsidTr="00C32A71">
        <w:tc>
          <w:tcPr>
            <w:tcW w:w="1702" w:type="dxa"/>
            <w:vAlign w:val="center"/>
          </w:tcPr>
          <w:p w14:paraId="1E476555" w14:textId="00F655C8" w:rsidR="00207057" w:rsidRPr="00F90C35" w:rsidRDefault="00207057" w:rsidP="00030BF9">
            <w:pPr>
              <w:rPr>
                <w:sz w:val="18"/>
                <w:szCs w:val="18"/>
              </w:rPr>
            </w:pPr>
            <w:r w:rsidRPr="00F90C35">
              <w:rPr>
                <w:sz w:val="18"/>
                <w:szCs w:val="18"/>
              </w:rPr>
              <w:t>Food and Agricultural Research and Extension Institute (FAREI)</w:t>
            </w:r>
          </w:p>
        </w:tc>
        <w:tc>
          <w:tcPr>
            <w:tcW w:w="3969" w:type="dxa"/>
            <w:vAlign w:val="center"/>
          </w:tcPr>
          <w:p w14:paraId="14BD16A3" w14:textId="0ED3CF70" w:rsidR="0040633F" w:rsidRPr="00F90C35" w:rsidRDefault="0040633F" w:rsidP="0040633F">
            <w:pPr>
              <w:rPr>
                <w:sz w:val="18"/>
                <w:szCs w:val="18"/>
              </w:rPr>
            </w:pPr>
            <w:r w:rsidRPr="0040633F">
              <w:rPr>
                <w:sz w:val="18"/>
                <w:szCs w:val="18"/>
              </w:rPr>
              <w:t>FAREI is a parastatal under the Ministry of Agro Industry and Food Security. Its core responsibilities are to conduct research in non-sugar crops and livestock, and to provide agricultural extension services to farmers.</w:t>
            </w:r>
            <w:r>
              <w:rPr>
                <w:sz w:val="18"/>
                <w:szCs w:val="18"/>
              </w:rPr>
              <w:t xml:space="preserve"> Together with the FS, FAREI was the Chair of the 2017 National GHG Inventory AFOLU Sub-TWG.</w:t>
            </w:r>
          </w:p>
        </w:tc>
        <w:tc>
          <w:tcPr>
            <w:tcW w:w="4238" w:type="dxa"/>
            <w:vAlign w:val="center"/>
          </w:tcPr>
          <w:p w14:paraId="6E98D9F3" w14:textId="1E1C4E9D" w:rsidR="00207057" w:rsidRPr="00F90C35" w:rsidRDefault="00813910" w:rsidP="00030BF9">
            <w:pPr>
              <w:rPr>
                <w:sz w:val="18"/>
                <w:szCs w:val="18"/>
              </w:rPr>
            </w:pPr>
            <w:r>
              <w:rPr>
                <w:sz w:val="18"/>
                <w:szCs w:val="18"/>
              </w:rPr>
              <w:t>FAREI will develop a detailed action plan and budget for calculation of enteric fermentation emission factors, including – as necessary – negotiated access to farms in order to undertake measurements on livestock.</w:t>
            </w:r>
            <w:r w:rsidR="00E52576">
              <w:rPr>
                <w:sz w:val="18"/>
                <w:szCs w:val="18"/>
              </w:rPr>
              <w:t xml:space="preserve"> This will inform subsequent implementation of Output 1.4.</w:t>
            </w:r>
          </w:p>
        </w:tc>
      </w:tr>
      <w:tr w:rsidR="00E35C79" w:rsidRPr="00F90C35" w14:paraId="79D54ADE" w14:textId="77777777" w:rsidTr="00C32A71">
        <w:tc>
          <w:tcPr>
            <w:tcW w:w="1702" w:type="dxa"/>
            <w:vAlign w:val="center"/>
          </w:tcPr>
          <w:p w14:paraId="2DE78622" w14:textId="13562CF2" w:rsidR="00E35C79" w:rsidRPr="00F90C35" w:rsidRDefault="00E35C79" w:rsidP="00030BF9">
            <w:pPr>
              <w:rPr>
                <w:sz w:val="18"/>
                <w:szCs w:val="18"/>
              </w:rPr>
            </w:pPr>
            <w:r>
              <w:rPr>
                <w:sz w:val="18"/>
                <w:szCs w:val="18"/>
              </w:rPr>
              <w:lastRenderedPageBreak/>
              <w:t>Statistics Mauritius</w:t>
            </w:r>
          </w:p>
        </w:tc>
        <w:tc>
          <w:tcPr>
            <w:tcW w:w="3969" w:type="dxa"/>
            <w:vAlign w:val="center"/>
          </w:tcPr>
          <w:p w14:paraId="261190C2" w14:textId="1A0793E7" w:rsidR="00872FE3" w:rsidRPr="0040633F" w:rsidRDefault="00872FE3" w:rsidP="00735635">
            <w:pPr>
              <w:rPr>
                <w:sz w:val="18"/>
                <w:szCs w:val="18"/>
              </w:rPr>
            </w:pPr>
            <w:r>
              <w:rPr>
                <w:sz w:val="18"/>
                <w:szCs w:val="18"/>
              </w:rPr>
              <w:t>Statistics Mauritius is the statistical agency of Mauritius, responsible for the collection, compilation, analysis and dissemination of official statistical data</w:t>
            </w:r>
            <w:r w:rsidR="00735635">
              <w:rPr>
                <w:sz w:val="18"/>
                <w:szCs w:val="18"/>
              </w:rPr>
              <w:t>. During the 2017 National GHG Inventory process, Statistics Mauritius worked closely with the CCD to secure access to data and to check the consistency of different data-sets (e.g. reconciling fossil fuel import records with fossil fuel consumption data provided by sectoral ministries).</w:t>
            </w:r>
          </w:p>
        </w:tc>
        <w:tc>
          <w:tcPr>
            <w:tcW w:w="4238" w:type="dxa"/>
            <w:vAlign w:val="center"/>
          </w:tcPr>
          <w:p w14:paraId="0AEB241E" w14:textId="050421A8" w:rsidR="00E35C79" w:rsidRPr="00E12C1B" w:rsidRDefault="00E12C1B" w:rsidP="00030BF9">
            <w:pPr>
              <w:rPr>
                <w:sz w:val="18"/>
                <w:szCs w:val="18"/>
              </w:rPr>
            </w:pPr>
            <w:r w:rsidRPr="00E12C1B">
              <w:rPr>
                <w:sz w:val="18"/>
                <w:szCs w:val="18"/>
              </w:rPr>
              <w:t xml:space="preserve">Working with CCD, Statistics Mauritius will explore initial requirements for the streamlined inventory data collection process (Output 2.2) and required design elements for the enhanced CCIC, including potential links with the SEIS Indicator Reporting Information System (IRIS) under Output </w:t>
            </w:r>
            <w:r w:rsidR="009274B1">
              <w:rPr>
                <w:sz w:val="18"/>
                <w:szCs w:val="18"/>
              </w:rPr>
              <w:t>3.2</w:t>
            </w:r>
            <w:r w:rsidRPr="00E12C1B">
              <w:rPr>
                <w:sz w:val="18"/>
                <w:szCs w:val="18"/>
              </w:rPr>
              <w:t>.</w:t>
            </w:r>
          </w:p>
        </w:tc>
      </w:tr>
      <w:tr w:rsidR="00E6541E" w:rsidRPr="00F90C35" w14:paraId="0CDAE5B3" w14:textId="77777777" w:rsidTr="00C32A71">
        <w:tc>
          <w:tcPr>
            <w:tcW w:w="1702" w:type="dxa"/>
            <w:vAlign w:val="center"/>
          </w:tcPr>
          <w:p w14:paraId="60363AD4" w14:textId="134CBA0C" w:rsidR="00E6541E" w:rsidRDefault="00E6541E" w:rsidP="00030BF9">
            <w:pPr>
              <w:rPr>
                <w:sz w:val="18"/>
                <w:szCs w:val="18"/>
              </w:rPr>
            </w:pPr>
            <w:r>
              <w:rPr>
                <w:sz w:val="18"/>
                <w:szCs w:val="18"/>
              </w:rPr>
              <w:t>Ministry of Gender Equality, Child Development and Family Welfare</w:t>
            </w:r>
            <w:r w:rsidR="00246AA5">
              <w:rPr>
                <w:sz w:val="18"/>
                <w:szCs w:val="18"/>
              </w:rPr>
              <w:t xml:space="preserve"> (MGECDFW)</w:t>
            </w:r>
          </w:p>
        </w:tc>
        <w:tc>
          <w:tcPr>
            <w:tcW w:w="3969" w:type="dxa"/>
            <w:vAlign w:val="center"/>
          </w:tcPr>
          <w:p w14:paraId="1B7BCC5B" w14:textId="635E27B0" w:rsidR="00C40710" w:rsidRPr="0040633F" w:rsidRDefault="00C40710" w:rsidP="00C40710">
            <w:pPr>
              <w:rPr>
                <w:sz w:val="18"/>
                <w:szCs w:val="18"/>
              </w:rPr>
            </w:pPr>
            <w:r>
              <w:rPr>
                <w:sz w:val="18"/>
                <w:szCs w:val="18"/>
              </w:rPr>
              <w:t xml:space="preserve">The Ministry serves as the </w:t>
            </w:r>
            <w:r w:rsidRPr="00C40710">
              <w:rPr>
                <w:sz w:val="18"/>
                <w:szCs w:val="18"/>
              </w:rPr>
              <w:t xml:space="preserve">lead </w:t>
            </w:r>
            <w:r>
              <w:rPr>
                <w:sz w:val="18"/>
                <w:szCs w:val="18"/>
              </w:rPr>
              <w:t>institution</w:t>
            </w:r>
            <w:r w:rsidRPr="00C40710">
              <w:rPr>
                <w:sz w:val="18"/>
                <w:szCs w:val="18"/>
              </w:rPr>
              <w:t xml:space="preserve"> responsible for the oversight, coordination, monitoring and evaluation of gender mainstreaming policies, strategies and programmes at national level.</w:t>
            </w:r>
            <w:r w:rsidR="00B47519">
              <w:rPr>
                <w:sz w:val="18"/>
                <w:szCs w:val="18"/>
              </w:rPr>
              <w:t xml:space="preserve"> It is working with the UNEP-GEF NAMAs project to develop a Gender Action Plan (GAP) for the NDC.</w:t>
            </w:r>
          </w:p>
        </w:tc>
        <w:tc>
          <w:tcPr>
            <w:tcW w:w="4238" w:type="dxa"/>
            <w:vAlign w:val="center"/>
          </w:tcPr>
          <w:p w14:paraId="775B83C4" w14:textId="2B7A2025" w:rsidR="00E6541E" w:rsidRPr="00F90C35" w:rsidRDefault="001B2C26" w:rsidP="00030BF9">
            <w:pPr>
              <w:rPr>
                <w:sz w:val="18"/>
                <w:szCs w:val="18"/>
              </w:rPr>
            </w:pPr>
            <w:r>
              <w:rPr>
                <w:sz w:val="18"/>
                <w:szCs w:val="18"/>
              </w:rPr>
              <w:t>The Gender Unit of the Ministry will work with the NTA to ensure that the systematic survey programme for the land transport sub-sector</w:t>
            </w:r>
            <w:r w:rsidR="006073D8">
              <w:rPr>
                <w:sz w:val="18"/>
                <w:szCs w:val="18"/>
              </w:rPr>
              <w:t xml:space="preserve"> (Output 1.3) captures appropriate information about differentiated gender use, needs and challenges (e.g. with regard to the use of public transport)</w:t>
            </w:r>
            <w:r w:rsidR="007F7E76">
              <w:rPr>
                <w:sz w:val="18"/>
                <w:szCs w:val="18"/>
              </w:rPr>
              <w:t xml:space="preserve"> and is coordinated with NDC GAP needs.</w:t>
            </w:r>
          </w:p>
        </w:tc>
      </w:tr>
      <w:tr w:rsidR="00207057" w:rsidRPr="00F90C35" w14:paraId="3CA2815D" w14:textId="77777777" w:rsidTr="00030BF9">
        <w:tc>
          <w:tcPr>
            <w:tcW w:w="9909" w:type="dxa"/>
            <w:gridSpan w:val="3"/>
            <w:shd w:val="clear" w:color="auto" w:fill="D9D9D9" w:themeFill="background1" w:themeFillShade="D9"/>
            <w:vAlign w:val="center"/>
          </w:tcPr>
          <w:p w14:paraId="43CD78DD" w14:textId="32D05E78" w:rsidR="00207057" w:rsidRPr="00F90C35" w:rsidRDefault="00207057" w:rsidP="00030BF9">
            <w:pPr>
              <w:rPr>
                <w:i/>
                <w:sz w:val="18"/>
                <w:szCs w:val="18"/>
              </w:rPr>
            </w:pPr>
            <w:r w:rsidRPr="00F90C35">
              <w:rPr>
                <w:i/>
                <w:sz w:val="18"/>
                <w:szCs w:val="18"/>
              </w:rPr>
              <w:t>Private Sector</w:t>
            </w:r>
          </w:p>
        </w:tc>
      </w:tr>
      <w:tr w:rsidR="00207057" w:rsidRPr="00F90C35" w14:paraId="1D4B7AC2" w14:textId="77777777" w:rsidTr="00C32A71">
        <w:tc>
          <w:tcPr>
            <w:tcW w:w="1702" w:type="dxa"/>
            <w:vAlign w:val="center"/>
          </w:tcPr>
          <w:p w14:paraId="46995448" w14:textId="24CE1B30" w:rsidR="00207057" w:rsidRPr="00F90C35" w:rsidRDefault="00ED729B" w:rsidP="00030BF9">
            <w:pPr>
              <w:rPr>
                <w:sz w:val="18"/>
                <w:szCs w:val="18"/>
              </w:rPr>
            </w:pPr>
            <w:r w:rsidRPr="00F90C35">
              <w:rPr>
                <w:sz w:val="18"/>
                <w:szCs w:val="18"/>
              </w:rPr>
              <w:t>Independent Power Producers (IPPs)</w:t>
            </w:r>
          </w:p>
        </w:tc>
        <w:tc>
          <w:tcPr>
            <w:tcW w:w="3969" w:type="dxa"/>
            <w:vAlign w:val="center"/>
          </w:tcPr>
          <w:p w14:paraId="1D96D901" w14:textId="77DFD805" w:rsidR="00207057" w:rsidRPr="00F90C35" w:rsidRDefault="00703B3C" w:rsidP="00030BF9">
            <w:pPr>
              <w:rPr>
                <w:sz w:val="18"/>
                <w:szCs w:val="18"/>
              </w:rPr>
            </w:pPr>
            <w:r>
              <w:rPr>
                <w:sz w:val="18"/>
                <w:szCs w:val="18"/>
              </w:rPr>
              <w:t xml:space="preserve">12 IPPs operate in Mauritius, supplying 60% of the country’s electricity. </w:t>
            </w:r>
            <w:r w:rsidR="00BE3197">
              <w:rPr>
                <w:sz w:val="18"/>
                <w:szCs w:val="18"/>
              </w:rPr>
              <w:t xml:space="preserve">Five of these IPPs operate plants that use fossil fuel (coal) or a combination of coal and bagasse. </w:t>
            </w:r>
          </w:p>
        </w:tc>
        <w:tc>
          <w:tcPr>
            <w:tcW w:w="4238" w:type="dxa"/>
            <w:vAlign w:val="center"/>
          </w:tcPr>
          <w:p w14:paraId="471F7800" w14:textId="09034A1D" w:rsidR="00207057" w:rsidRPr="00F90C35" w:rsidRDefault="006C4C00" w:rsidP="00030BF9">
            <w:pPr>
              <w:rPr>
                <w:bCs/>
                <w:sz w:val="18"/>
                <w:szCs w:val="18"/>
              </w:rPr>
            </w:pPr>
            <w:r>
              <w:rPr>
                <w:sz w:val="18"/>
                <w:szCs w:val="18"/>
              </w:rPr>
              <w:t>5 IPPs will work with the project preparation team</w:t>
            </w:r>
            <w:r w:rsidR="00297F14">
              <w:rPr>
                <w:sz w:val="18"/>
                <w:szCs w:val="18"/>
              </w:rPr>
              <w:t>,</w:t>
            </w:r>
            <w:r>
              <w:rPr>
                <w:sz w:val="18"/>
                <w:szCs w:val="18"/>
              </w:rPr>
              <w:t xml:space="preserve"> MCIA</w:t>
            </w:r>
            <w:r w:rsidR="00297F14">
              <w:rPr>
                <w:sz w:val="18"/>
                <w:szCs w:val="18"/>
              </w:rPr>
              <w:t xml:space="preserve"> and UoM</w:t>
            </w:r>
            <w:r>
              <w:rPr>
                <w:sz w:val="18"/>
                <w:szCs w:val="18"/>
              </w:rPr>
              <w:t xml:space="preserve"> to develop a data collection and site visit programme for the calculation of Tier 3 emission factors for the 5 IPP fossil fuel thermal power plants. This will inform the implementation of Output 1.2.</w:t>
            </w:r>
          </w:p>
        </w:tc>
      </w:tr>
      <w:tr w:rsidR="00207057" w:rsidRPr="00F90C35" w14:paraId="546A12D2" w14:textId="77777777" w:rsidTr="00C32A71">
        <w:tc>
          <w:tcPr>
            <w:tcW w:w="1702" w:type="dxa"/>
            <w:vAlign w:val="center"/>
          </w:tcPr>
          <w:p w14:paraId="4A44B4EE" w14:textId="1919597C" w:rsidR="00207057" w:rsidRPr="00F90C35" w:rsidRDefault="00ED729B" w:rsidP="00030BF9">
            <w:pPr>
              <w:rPr>
                <w:sz w:val="18"/>
                <w:szCs w:val="18"/>
              </w:rPr>
            </w:pPr>
            <w:r w:rsidRPr="00F90C35">
              <w:rPr>
                <w:sz w:val="18"/>
                <w:szCs w:val="18"/>
              </w:rPr>
              <w:t>Business Mauritius</w:t>
            </w:r>
          </w:p>
        </w:tc>
        <w:tc>
          <w:tcPr>
            <w:tcW w:w="3969" w:type="dxa"/>
            <w:vAlign w:val="center"/>
          </w:tcPr>
          <w:p w14:paraId="5A6520BD" w14:textId="480B37A5" w:rsidR="00207057" w:rsidRPr="009D5A33" w:rsidRDefault="00EC3ED5" w:rsidP="00030BF9">
            <w:pPr>
              <w:rPr>
                <w:sz w:val="18"/>
                <w:szCs w:val="18"/>
              </w:rPr>
            </w:pPr>
            <w:r w:rsidRPr="009D5A33">
              <w:rPr>
                <w:sz w:val="18"/>
                <w:szCs w:val="18"/>
              </w:rPr>
              <w:t>Business Mauritius</w:t>
            </w:r>
            <w:r w:rsidRPr="009D5A33">
              <w:rPr>
                <w:b/>
                <w:sz w:val="18"/>
                <w:szCs w:val="18"/>
              </w:rPr>
              <w:t xml:space="preserve"> </w:t>
            </w:r>
            <w:r w:rsidRPr="009D5A33">
              <w:rPr>
                <w:rStyle w:val="Strong"/>
                <w:b w:val="0"/>
                <w:sz w:val="18"/>
                <w:szCs w:val="18"/>
              </w:rPr>
              <w:t xml:space="preserve">is an independent association that represents 1,200 local businesses and sectoral chambers of commerce. </w:t>
            </w:r>
            <w:r w:rsidR="00965A9F" w:rsidRPr="009D5A33">
              <w:rPr>
                <w:rStyle w:val="Strong"/>
                <w:b w:val="0"/>
                <w:sz w:val="18"/>
                <w:szCs w:val="18"/>
              </w:rPr>
              <w:t>Business Mauritius is active in the energy and environmental areas, coordinating corporate social responsibility (CSR) activities, a Board member of Statistics Mauritius and MARENA, and a participant in the Third National Communication.</w:t>
            </w:r>
            <w:r w:rsidR="00965A9F" w:rsidRPr="009D5A33">
              <w:rPr>
                <w:sz w:val="18"/>
                <w:szCs w:val="18"/>
              </w:rPr>
              <w:t xml:space="preserve"> </w:t>
            </w:r>
            <w:r w:rsidRPr="009D5A33">
              <w:rPr>
                <w:sz w:val="18"/>
                <w:szCs w:val="18"/>
              </w:rPr>
              <w:t xml:space="preserve"> </w:t>
            </w:r>
          </w:p>
        </w:tc>
        <w:tc>
          <w:tcPr>
            <w:tcW w:w="4238" w:type="dxa"/>
            <w:vAlign w:val="center"/>
          </w:tcPr>
          <w:p w14:paraId="45046381" w14:textId="29F22A9E" w:rsidR="00207057" w:rsidRPr="00F90C35" w:rsidRDefault="00B22B8A" w:rsidP="00030BF9">
            <w:pPr>
              <w:rPr>
                <w:bCs/>
                <w:sz w:val="18"/>
                <w:szCs w:val="18"/>
              </w:rPr>
            </w:pPr>
            <w:r>
              <w:rPr>
                <w:bCs/>
                <w:sz w:val="18"/>
                <w:szCs w:val="18"/>
              </w:rPr>
              <w:t xml:space="preserve">Business Mauritius will work with the project preparation team, private land owners and FS to </w:t>
            </w:r>
            <w:r>
              <w:rPr>
                <w:sz w:val="18"/>
                <w:szCs w:val="18"/>
              </w:rPr>
              <w:t>develop a programme of site visits to privately-owned forestland (Output 1.5), and with private bus companies to participate in the land transport survey programme (Output 1.3).</w:t>
            </w:r>
          </w:p>
        </w:tc>
      </w:tr>
      <w:tr w:rsidR="00ED729B" w:rsidRPr="00F90C35" w14:paraId="2A247A5F" w14:textId="77777777" w:rsidTr="00030BF9">
        <w:tc>
          <w:tcPr>
            <w:tcW w:w="9909" w:type="dxa"/>
            <w:gridSpan w:val="3"/>
            <w:shd w:val="clear" w:color="auto" w:fill="D9D9D9" w:themeFill="background1" w:themeFillShade="D9"/>
            <w:vAlign w:val="center"/>
          </w:tcPr>
          <w:p w14:paraId="36D1CFFA" w14:textId="6F6E88A4" w:rsidR="00ED729B" w:rsidRPr="00F90C35" w:rsidRDefault="00ED729B" w:rsidP="00030BF9">
            <w:pPr>
              <w:rPr>
                <w:bCs/>
                <w:i/>
                <w:sz w:val="18"/>
                <w:szCs w:val="18"/>
              </w:rPr>
            </w:pPr>
            <w:r w:rsidRPr="00F90C35">
              <w:rPr>
                <w:bCs/>
                <w:i/>
                <w:sz w:val="18"/>
                <w:szCs w:val="18"/>
              </w:rPr>
              <w:t>Civil Society Organisations</w:t>
            </w:r>
          </w:p>
        </w:tc>
      </w:tr>
      <w:tr w:rsidR="00ED729B" w:rsidRPr="00F90C35" w14:paraId="1D785ECF" w14:textId="77777777" w:rsidTr="00C32A71">
        <w:trPr>
          <w:trHeight w:val="273"/>
        </w:trPr>
        <w:tc>
          <w:tcPr>
            <w:tcW w:w="1702" w:type="dxa"/>
            <w:vAlign w:val="center"/>
          </w:tcPr>
          <w:p w14:paraId="24D478EB" w14:textId="074AD265" w:rsidR="00ED729B" w:rsidRPr="00F90C35" w:rsidRDefault="002659F4" w:rsidP="00030BF9">
            <w:pPr>
              <w:rPr>
                <w:sz w:val="18"/>
                <w:szCs w:val="18"/>
              </w:rPr>
            </w:pPr>
            <w:r w:rsidRPr="00F90C35">
              <w:rPr>
                <w:sz w:val="18"/>
                <w:szCs w:val="18"/>
              </w:rPr>
              <w:t>University of Mauritius</w:t>
            </w:r>
            <w:r w:rsidR="00894252">
              <w:rPr>
                <w:sz w:val="18"/>
                <w:szCs w:val="18"/>
              </w:rPr>
              <w:t xml:space="preserve"> (UoM)</w:t>
            </w:r>
          </w:p>
        </w:tc>
        <w:tc>
          <w:tcPr>
            <w:tcW w:w="3969" w:type="dxa"/>
            <w:vAlign w:val="center"/>
          </w:tcPr>
          <w:p w14:paraId="062F8C11" w14:textId="7B3E3AF2" w:rsidR="00ED729B" w:rsidRPr="00F90C35" w:rsidRDefault="00894252" w:rsidP="00030BF9">
            <w:pPr>
              <w:rPr>
                <w:sz w:val="18"/>
                <w:szCs w:val="18"/>
              </w:rPr>
            </w:pPr>
            <w:r>
              <w:rPr>
                <w:sz w:val="18"/>
                <w:szCs w:val="18"/>
              </w:rPr>
              <w:t xml:space="preserve">UoM is the national university of Mauritius. The Department of Chemical and Environmental Engineering has expertise and experience in estimating fuel emission factors, as well as monitoring smoke-stack emissions (the </w:t>
            </w:r>
            <w:r w:rsidR="00534BD2">
              <w:rPr>
                <w:sz w:val="18"/>
                <w:szCs w:val="18"/>
              </w:rPr>
              <w:t xml:space="preserve">National </w:t>
            </w:r>
            <w:r>
              <w:rPr>
                <w:sz w:val="18"/>
                <w:szCs w:val="18"/>
              </w:rPr>
              <w:t xml:space="preserve">Air Pollution Monitoring Unit, now part of </w:t>
            </w:r>
            <w:r w:rsidR="00534BD2">
              <w:rPr>
                <w:sz w:val="18"/>
                <w:szCs w:val="18"/>
              </w:rPr>
              <w:t>MCIA, used to be housed in the University).</w:t>
            </w:r>
          </w:p>
        </w:tc>
        <w:tc>
          <w:tcPr>
            <w:tcW w:w="4238" w:type="dxa"/>
            <w:vAlign w:val="center"/>
          </w:tcPr>
          <w:p w14:paraId="691D2098" w14:textId="67587624" w:rsidR="00ED729B" w:rsidRPr="00F90C35" w:rsidRDefault="00AB5F73" w:rsidP="00030BF9">
            <w:pPr>
              <w:rPr>
                <w:bCs/>
                <w:sz w:val="18"/>
                <w:szCs w:val="18"/>
              </w:rPr>
            </w:pPr>
            <w:r>
              <w:rPr>
                <w:bCs/>
                <w:sz w:val="18"/>
                <w:szCs w:val="18"/>
              </w:rPr>
              <w:t>UoM will design a</w:t>
            </w:r>
            <w:r w:rsidR="00BD173C">
              <w:rPr>
                <w:bCs/>
                <w:sz w:val="18"/>
                <w:szCs w:val="18"/>
              </w:rPr>
              <w:t xml:space="preserve"> testing</w:t>
            </w:r>
            <w:r>
              <w:rPr>
                <w:bCs/>
                <w:sz w:val="18"/>
                <w:szCs w:val="18"/>
              </w:rPr>
              <w:t xml:space="preserve"> action plan and </w:t>
            </w:r>
            <w:r w:rsidR="00DF17C6">
              <w:rPr>
                <w:bCs/>
                <w:sz w:val="18"/>
                <w:szCs w:val="18"/>
              </w:rPr>
              <w:t xml:space="preserve">GEF-supported </w:t>
            </w:r>
            <w:r>
              <w:rPr>
                <w:bCs/>
                <w:sz w:val="18"/>
                <w:szCs w:val="18"/>
              </w:rPr>
              <w:t xml:space="preserve">budget for development of Tier 2 emission factors (for Output </w:t>
            </w:r>
            <w:r w:rsidR="00BD173C">
              <w:rPr>
                <w:bCs/>
                <w:sz w:val="18"/>
                <w:szCs w:val="18"/>
              </w:rPr>
              <w:t>1.1)</w:t>
            </w:r>
            <w:r w:rsidR="00297F14">
              <w:rPr>
                <w:bCs/>
                <w:sz w:val="18"/>
                <w:szCs w:val="18"/>
              </w:rPr>
              <w:t>, and will work with CEB, MCIA and IPPs to develop a plan of action for calculating Tier 3 emission factors for 9 thermal power plants (for Output 1.2).</w:t>
            </w:r>
          </w:p>
        </w:tc>
      </w:tr>
    </w:tbl>
    <w:p w14:paraId="69961EC8" w14:textId="77777777" w:rsidR="0034287A" w:rsidRDefault="0034287A" w:rsidP="00AA4E74">
      <w:pPr>
        <w:pStyle w:val="GEFQuestion"/>
        <w:shd w:val="clear" w:color="auto" w:fill="FFFFFF"/>
        <w:rPr>
          <w:i/>
        </w:rPr>
      </w:pPr>
    </w:p>
    <w:p w14:paraId="09658071" w14:textId="25F8C021" w:rsidR="00DF2DB3" w:rsidRDefault="008F0C94" w:rsidP="004F2939">
      <w:pPr>
        <w:pStyle w:val="GEFQuestion"/>
        <w:shd w:val="clear" w:color="auto" w:fill="FFFFFF"/>
        <w:ind w:left="-426"/>
      </w:pPr>
      <w:r w:rsidRPr="001731CE">
        <w:rPr>
          <w:i/>
        </w:rPr>
        <w:t xml:space="preserve">3. Gender </w:t>
      </w:r>
      <w:r w:rsidR="00506E33" w:rsidRPr="001731CE">
        <w:rPr>
          <w:i/>
        </w:rPr>
        <w:t>Equality and Women’s Empowerment</w:t>
      </w:r>
      <w:r w:rsidRPr="001731CE">
        <w:rPr>
          <w:i/>
        </w:rPr>
        <w:t>.</w:t>
      </w:r>
      <w:r w:rsidRPr="001731CE">
        <w:t xml:space="preserve"> </w:t>
      </w:r>
      <w:r w:rsidR="001B22A8" w:rsidRPr="001731CE">
        <w:rPr>
          <w:rFonts w:eastAsia="Calibri"/>
          <w:sz w:val="20"/>
          <w:szCs w:val="20"/>
        </w:rPr>
        <w:t xml:space="preserve"> </w:t>
      </w:r>
      <w:bookmarkStart w:id="33" w:name="_Hlk511815643"/>
      <w:r w:rsidR="009D248C" w:rsidRPr="001731CE">
        <w:rPr>
          <w:rFonts w:eastAsia="Calibri"/>
          <w:sz w:val="20"/>
          <w:szCs w:val="20"/>
        </w:rPr>
        <w:t>B</w:t>
      </w:r>
      <w:r w:rsidR="001B22A8" w:rsidRPr="001731CE">
        <w:t xml:space="preserve">riefly include below any gender dimensions relevant to the project, and any plans to address gender in project </w:t>
      </w:r>
      <w:r w:rsidR="0035721A" w:rsidRPr="001731CE">
        <w:t>design</w:t>
      </w:r>
      <w:r w:rsidR="001B22A8" w:rsidRPr="001731CE">
        <w:t xml:space="preserve"> (e.g. gender analysis). </w:t>
      </w:r>
      <w:r w:rsidR="001515DC" w:rsidRPr="001731CE">
        <w:t>Does the project expect to include any gender-responsive measures to address gender gaps or promote gender equality and women empowerment?</w:t>
      </w:r>
      <w:r w:rsidR="001B22A8" w:rsidRPr="001731CE">
        <w:t xml:space="preserve">  yes </w:t>
      </w:r>
      <w:r w:rsidR="0068554C">
        <w:fldChar w:fldCharType="begin">
          <w:ffData>
            <w:name w:val="incl_civil_yes"/>
            <w:enabled/>
            <w:calcOnExit w:val="0"/>
            <w:checkBox>
              <w:sizeAuto/>
              <w:default w:val="1"/>
            </w:checkBox>
          </w:ffData>
        </w:fldChar>
      </w:r>
      <w:bookmarkStart w:id="34" w:name="incl_civil_yes"/>
      <w:r w:rsidR="0068554C">
        <w:instrText xml:space="preserve"> FORMCHECKBOX </w:instrText>
      </w:r>
      <w:r w:rsidR="00A755A1">
        <w:fldChar w:fldCharType="separate"/>
      </w:r>
      <w:r w:rsidR="0068554C">
        <w:fldChar w:fldCharType="end"/>
      </w:r>
      <w:bookmarkEnd w:id="34"/>
      <w:r w:rsidR="001B22A8" w:rsidRPr="001731CE">
        <w:t xml:space="preserve"> /no </w:t>
      </w:r>
      <w:r w:rsidR="001B22A8" w:rsidRPr="001731CE">
        <w:fldChar w:fldCharType="begin">
          <w:ffData>
            <w:name w:val="incl_civil_no"/>
            <w:enabled/>
            <w:calcOnExit w:val="0"/>
            <w:checkBox>
              <w:sizeAuto/>
              <w:default w:val="0"/>
            </w:checkBox>
          </w:ffData>
        </w:fldChar>
      </w:r>
      <w:r w:rsidR="001B22A8" w:rsidRPr="001731CE">
        <w:instrText xml:space="preserve"> FORMCHECKBOX </w:instrText>
      </w:r>
      <w:r w:rsidR="00A755A1">
        <w:fldChar w:fldCharType="separate"/>
      </w:r>
      <w:r w:rsidR="001B22A8" w:rsidRPr="001731CE">
        <w:fldChar w:fldCharType="end"/>
      </w:r>
      <w:r w:rsidR="001B22A8" w:rsidRPr="001731CE">
        <w:t xml:space="preserve"> / </w:t>
      </w:r>
      <w:proofErr w:type="spellStart"/>
      <w:r w:rsidR="001B22A8" w:rsidRPr="001731CE">
        <w:t>tbd</w:t>
      </w:r>
      <w:proofErr w:type="spellEnd"/>
      <w:r w:rsidR="001B22A8" w:rsidRPr="001731CE">
        <w:t xml:space="preserve"> </w:t>
      </w:r>
      <w:r w:rsidR="001B22A8" w:rsidRPr="001731CE">
        <w:fldChar w:fldCharType="begin">
          <w:ffData>
            <w:name w:val="incl_civil_yes"/>
            <w:enabled/>
            <w:calcOnExit w:val="0"/>
            <w:checkBox>
              <w:sizeAuto/>
              <w:default w:val="0"/>
            </w:checkBox>
          </w:ffData>
        </w:fldChar>
      </w:r>
      <w:r w:rsidR="001B22A8" w:rsidRPr="001731CE">
        <w:instrText xml:space="preserve"> FORMCHECKBOX </w:instrText>
      </w:r>
      <w:r w:rsidR="00A755A1">
        <w:fldChar w:fldCharType="separate"/>
      </w:r>
      <w:r w:rsidR="001B22A8" w:rsidRPr="001731CE">
        <w:fldChar w:fldCharType="end"/>
      </w:r>
      <w:r w:rsidR="001B22A8" w:rsidRPr="001731CE">
        <w:t xml:space="preserve"> </w:t>
      </w:r>
      <w:r w:rsidR="00A4404E" w:rsidRPr="001731CE">
        <w:t xml:space="preserve">; </w:t>
      </w:r>
      <w:r w:rsidR="00051D32" w:rsidRPr="001731CE">
        <w:t xml:space="preserve">If possible, indicate in which results area(s) the project is expected to contribute to gender equality: </w:t>
      </w:r>
      <w:r w:rsidR="001B22A8" w:rsidRPr="001731CE">
        <w:t xml:space="preserve"> </w:t>
      </w:r>
    </w:p>
    <w:p w14:paraId="52EF8828" w14:textId="77777777" w:rsidR="00033C6F" w:rsidRPr="00033C6F" w:rsidRDefault="00033C6F" w:rsidP="00033C6F"/>
    <w:p w14:paraId="15FD1AE3" w14:textId="77777777" w:rsidR="00DF2DB3" w:rsidRPr="001731CE" w:rsidRDefault="001B22A8" w:rsidP="004F2939">
      <w:pPr>
        <w:pStyle w:val="GEFQuestion"/>
        <w:shd w:val="clear" w:color="auto" w:fill="FFFFFF"/>
        <w:ind w:left="-426"/>
      </w:pPr>
      <w:r w:rsidRPr="001731CE">
        <w:fldChar w:fldCharType="begin">
          <w:ffData>
            <w:name w:val="incl_civil_yes"/>
            <w:enabled/>
            <w:calcOnExit w:val="0"/>
            <w:checkBox>
              <w:sizeAuto/>
              <w:default w:val="0"/>
            </w:checkBox>
          </w:ffData>
        </w:fldChar>
      </w:r>
      <w:r w:rsidRPr="001731CE">
        <w:instrText xml:space="preserve"> FORMCHECKBOX </w:instrText>
      </w:r>
      <w:r w:rsidR="00A755A1">
        <w:fldChar w:fldCharType="separate"/>
      </w:r>
      <w:r w:rsidRPr="001731CE">
        <w:fldChar w:fldCharType="end"/>
      </w:r>
      <w:r w:rsidR="00B139BF" w:rsidRPr="001731CE">
        <w:t xml:space="preserve"> </w:t>
      </w:r>
      <w:r w:rsidR="00927E23" w:rsidRPr="001731CE">
        <w:t xml:space="preserve">closing gender gaps in </w:t>
      </w:r>
      <w:r w:rsidR="00B139BF" w:rsidRPr="001731CE">
        <w:t xml:space="preserve">access to and control over </w:t>
      </w:r>
      <w:r w:rsidR="00CC349F" w:rsidRPr="001731CE">
        <w:t xml:space="preserve">natural </w:t>
      </w:r>
      <w:r w:rsidR="00B139BF" w:rsidRPr="001731CE">
        <w:t>resources;</w:t>
      </w:r>
      <w:r w:rsidRPr="001731CE">
        <w:t xml:space="preserve"> </w:t>
      </w:r>
    </w:p>
    <w:p w14:paraId="29FD33E8" w14:textId="6C2FA132" w:rsidR="00DF2DB3" w:rsidRPr="001731CE" w:rsidRDefault="0068554C" w:rsidP="004F2939">
      <w:pPr>
        <w:pStyle w:val="GEFQuestion"/>
        <w:shd w:val="clear" w:color="auto" w:fill="FFFFFF"/>
        <w:ind w:left="-426"/>
      </w:pPr>
      <w:r>
        <w:fldChar w:fldCharType="begin">
          <w:ffData>
            <w:name w:val="incl_civil_no"/>
            <w:enabled/>
            <w:calcOnExit w:val="0"/>
            <w:checkBox>
              <w:sizeAuto/>
              <w:default w:val="1"/>
            </w:checkBox>
          </w:ffData>
        </w:fldChar>
      </w:r>
      <w:bookmarkStart w:id="35" w:name="incl_civil_no"/>
      <w:r>
        <w:instrText xml:space="preserve"> FORMCHECKBOX </w:instrText>
      </w:r>
      <w:r w:rsidR="00A755A1">
        <w:fldChar w:fldCharType="separate"/>
      </w:r>
      <w:r>
        <w:fldChar w:fldCharType="end"/>
      </w:r>
      <w:bookmarkEnd w:id="35"/>
      <w:r w:rsidR="00B139BF" w:rsidRPr="001731CE">
        <w:t xml:space="preserve"> </w:t>
      </w:r>
      <w:r w:rsidR="00F730B6" w:rsidRPr="001731CE">
        <w:t xml:space="preserve">improving women’s </w:t>
      </w:r>
      <w:r w:rsidR="00B139BF" w:rsidRPr="001731CE">
        <w:t>participation and decision-making; and/or</w:t>
      </w:r>
      <w:r w:rsidR="001B22A8" w:rsidRPr="001731CE">
        <w:t xml:space="preserve"> </w:t>
      </w:r>
    </w:p>
    <w:p w14:paraId="71BD2305" w14:textId="2DF921C1" w:rsidR="00DF2DB3" w:rsidRPr="001731CE" w:rsidRDefault="0068554C" w:rsidP="004F2939">
      <w:pPr>
        <w:pStyle w:val="GEFQuestion"/>
        <w:shd w:val="clear" w:color="auto" w:fill="FFFFFF"/>
        <w:ind w:left="-426"/>
      </w:pPr>
      <w:r>
        <w:fldChar w:fldCharType="begin">
          <w:ffData>
            <w:name w:val=""/>
            <w:enabled/>
            <w:calcOnExit w:val="0"/>
            <w:checkBox>
              <w:sizeAuto/>
              <w:default w:val="1"/>
            </w:checkBox>
          </w:ffData>
        </w:fldChar>
      </w:r>
      <w:r>
        <w:instrText xml:space="preserve"> FORMCHECKBOX </w:instrText>
      </w:r>
      <w:r w:rsidR="00A755A1">
        <w:fldChar w:fldCharType="separate"/>
      </w:r>
      <w:r>
        <w:fldChar w:fldCharType="end"/>
      </w:r>
      <w:r w:rsidR="00B139BF" w:rsidRPr="001731CE">
        <w:t xml:space="preserve"> </w:t>
      </w:r>
      <w:r w:rsidR="00F730B6" w:rsidRPr="001731CE">
        <w:t>generating socio-</w:t>
      </w:r>
      <w:r w:rsidR="00B139BF" w:rsidRPr="001731CE">
        <w:t>economic benefits or services</w:t>
      </w:r>
      <w:r w:rsidR="00F730B6" w:rsidRPr="001731CE">
        <w:t xml:space="preserve"> for women</w:t>
      </w:r>
      <w:r w:rsidR="00B139BF" w:rsidRPr="001731CE">
        <w:t xml:space="preserve">. </w:t>
      </w:r>
    </w:p>
    <w:p w14:paraId="7FF56B8D" w14:textId="1B2AEE01" w:rsidR="001B22A8" w:rsidRPr="001731CE" w:rsidRDefault="00B139BF" w:rsidP="004F2939">
      <w:pPr>
        <w:pStyle w:val="GEFQuestion"/>
        <w:shd w:val="clear" w:color="auto" w:fill="FFFFFF"/>
        <w:ind w:left="-426"/>
      </w:pPr>
      <w:r w:rsidRPr="001731CE">
        <w:t xml:space="preserve">Will the project’s results framework or logical framework include gender-sensitive indicators? </w:t>
      </w:r>
      <w:r w:rsidR="00643BA5" w:rsidRPr="001731CE">
        <w:t>yes</w:t>
      </w:r>
      <w:r w:rsidR="0068554C">
        <w:fldChar w:fldCharType="begin">
          <w:ffData>
            <w:name w:val=""/>
            <w:enabled/>
            <w:calcOnExit w:val="0"/>
            <w:checkBox>
              <w:sizeAuto/>
              <w:default w:val="1"/>
            </w:checkBox>
          </w:ffData>
        </w:fldChar>
      </w:r>
      <w:r w:rsidR="0068554C">
        <w:instrText xml:space="preserve"> FORMCHECKBOX </w:instrText>
      </w:r>
      <w:r w:rsidR="00A755A1">
        <w:fldChar w:fldCharType="separate"/>
      </w:r>
      <w:r w:rsidR="0068554C">
        <w:fldChar w:fldCharType="end"/>
      </w:r>
      <w:r w:rsidRPr="001731CE">
        <w:t xml:space="preserve"> /no </w:t>
      </w:r>
      <w:r w:rsidRPr="001731CE">
        <w:fldChar w:fldCharType="begin">
          <w:ffData>
            <w:name w:val="incl_civil_no"/>
            <w:enabled/>
            <w:calcOnExit w:val="0"/>
            <w:checkBox>
              <w:sizeAuto/>
              <w:default w:val="0"/>
            </w:checkBox>
          </w:ffData>
        </w:fldChar>
      </w:r>
      <w:r w:rsidRPr="001731CE">
        <w:instrText xml:space="preserve"> FORMCHECKBOX </w:instrText>
      </w:r>
      <w:r w:rsidR="00A755A1">
        <w:fldChar w:fldCharType="separate"/>
      </w:r>
      <w:r w:rsidRPr="001731CE">
        <w:fldChar w:fldCharType="end"/>
      </w:r>
      <w:r w:rsidRPr="001731CE">
        <w:t xml:space="preserve"> / </w:t>
      </w:r>
      <w:proofErr w:type="spellStart"/>
      <w:r w:rsidRPr="001731CE">
        <w:t>tbd</w:t>
      </w:r>
      <w:proofErr w:type="spellEnd"/>
      <w:r w:rsidRPr="001731CE">
        <w:t xml:space="preserve"> </w:t>
      </w:r>
      <w:r w:rsidRPr="001731CE">
        <w:fldChar w:fldCharType="begin">
          <w:ffData>
            <w:name w:val="incl_civil_yes"/>
            <w:enabled/>
            <w:calcOnExit w:val="0"/>
            <w:checkBox>
              <w:sizeAuto/>
              <w:default w:val="0"/>
            </w:checkBox>
          </w:ffData>
        </w:fldChar>
      </w:r>
      <w:r w:rsidRPr="001731CE">
        <w:instrText xml:space="preserve"> FORMCHECKBOX </w:instrText>
      </w:r>
      <w:r w:rsidR="00A755A1">
        <w:fldChar w:fldCharType="separate"/>
      </w:r>
      <w:r w:rsidRPr="001731CE">
        <w:fldChar w:fldCharType="end"/>
      </w:r>
      <w:r w:rsidRPr="001731CE">
        <w:t xml:space="preserve"> </w:t>
      </w:r>
      <w:r w:rsidR="001B22A8" w:rsidRPr="001731CE">
        <w:rPr>
          <w:rFonts w:eastAsia="Calibri"/>
          <w:b/>
          <w:i/>
          <w:sz w:val="20"/>
          <w:szCs w:val="20"/>
        </w:rPr>
        <w:t xml:space="preserve"> </w:t>
      </w:r>
    </w:p>
    <w:p w14:paraId="052C006E" w14:textId="34E27CB6" w:rsidR="00870816" w:rsidRDefault="00870816" w:rsidP="004F2939">
      <w:pPr>
        <w:pStyle w:val="GEFFieldtoFillout"/>
        <w:shd w:val="clear" w:color="auto" w:fill="FFFFFF"/>
        <w:ind w:left="-426"/>
      </w:pPr>
    </w:p>
    <w:p w14:paraId="4CD2104B" w14:textId="77777777" w:rsidR="0099327D" w:rsidRDefault="0099327D" w:rsidP="00B25658">
      <w:pPr>
        <w:ind w:left="-426"/>
        <w:jc w:val="both"/>
        <w:rPr>
          <w:rFonts w:cstheme="minorHAnsi"/>
          <w:sz w:val="22"/>
          <w:szCs w:val="22"/>
        </w:rPr>
      </w:pPr>
      <w:r w:rsidRPr="000513F0">
        <w:rPr>
          <w:rFonts w:cstheme="minorHAnsi"/>
          <w:sz w:val="22"/>
          <w:szCs w:val="22"/>
        </w:rPr>
        <w:t>Th</w:t>
      </w:r>
      <w:r>
        <w:rPr>
          <w:rFonts w:cstheme="minorHAnsi"/>
          <w:sz w:val="22"/>
          <w:szCs w:val="22"/>
        </w:rPr>
        <w:t>e</w:t>
      </w:r>
      <w:r w:rsidRPr="000513F0">
        <w:rPr>
          <w:rFonts w:cstheme="minorHAnsi"/>
          <w:sz w:val="22"/>
          <w:szCs w:val="22"/>
        </w:rPr>
        <w:t xml:space="preserve"> project is designed to conform to </w:t>
      </w:r>
      <w:r>
        <w:rPr>
          <w:rFonts w:cstheme="minorHAnsi"/>
          <w:sz w:val="22"/>
          <w:szCs w:val="22"/>
        </w:rPr>
        <w:t xml:space="preserve">the </w:t>
      </w:r>
      <w:r w:rsidRPr="000513F0">
        <w:rPr>
          <w:rFonts w:cstheme="minorHAnsi"/>
          <w:sz w:val="22"/>
          <w:szCs w:val="22"/>
        </w:rPr>
        <w:t>2018 guidance from the GEF on gender equality,</w:t>
      </w:r>
      <w:r w:rsidRPr="000513F0">
        <w:rPr>
          <w:rStyle w:val="FootnoteReference"/>
          <w:rFonts w:cstheme="minorHAnsi"/>
          <w:sz w:val="22"/>
          <w:szCs w:val="22"/>
        </w:rPr>
        <w:footnoteReference w:id="9"/>
      </w:r>
      <w:r w:rsidRPr="000513F0">
        <w:rPr>
          <w:rFonts w:cstheme="minorHAnsi"/>
          <w:sz w:val="22"/>
          <w:szCs w:val="22"/>
        </w:rPr>
        <w:t xml:space="preserve"> and it will meet the following requirements during the project preparation phase</w:t>
      </w:r>
      <w:r>
        <w:rPr>
          <w:rFonts w:cstheme="minorHAnsi"/>
          <w:sz w:val="22"/>
          <w:szCs w:val="22"/>
        </w:rPr>
        <w:t>:</w:t>
      </w:r>
    </w:p>
    <w:p w14:paraId="77E58FFF" w14:textId="396E0567" w:rsidR="0099327D" w:rsidRPr="000513F0" w:rsidRDefault="0099327D" w:rsidP="00B25658">
      <w:pPr>
        <w:ind w:left="-426"/>
        <w:jc w:val="both"/>
        <w:rPr>
          <w:rFonts w:cstheme="minorHAnsi"/>
          <w:sz w:val="22"/>
          <w:szCs w:val="22"/>
        </w:rPr>
      </w:pPr>
      <w:r w:rsidRPr="000513F0">
        <w:rPr>
          <w:rFonts w:cstheme="minorHAnsi"/>
          <w:sz w:val="22"/>
          <w:szCs w:val="22"/>
        </w:rPr>
        <w:t xml:space="preserve"> </w:t>
      </w:r>
    </w:p>
    <w:p w14:paraId="3CD22472" w14:textId="0AB8DE97" w:rsidR="0099327D" w:rsidRPr="0099327D" w:rsidRDefault="0099327D" w:rsidP="00B25658">
      <w:pPr>
        <w:pStyle w:val="ListParagraph"/>
        <w:numPr>
          <w:ilvl w:val="0"/>
          <w:numId w:val="10"/>
        </w:numPr>
        <w:jc w:val="both"/>
        <w:rPr>
          <w:rFonts w:cstheme="minorHAnsi"/>
          <w:u w:val="none"/>
        </w:rPr>
      </w:pPr>
      <w:r w:rsidRPr="0099327D">
        <w:rPr>
          <w:rFonts w:cstheme="minorHAnsi"/>
          <w:u w:val="none"/>
        </w:rPr>
        <w:t xml:space="preserve">A gender analysis will be conducted as recommended under GEF procedures. </w:t>
      </w:r>
    </w:p>
    <w:p w14:paraId="64CCF829" w14:textId="37A8A507" w:rsidR="0099327D" w:rsidRPr="0099327D" w:rsidRDefault="0099327D" w:rsidP="00B25658">
      <w:pPr>
        <w:pStyle w:val="ListParagraph"/>
        <w:numPr>
          <w:ilvl w:val="0"/>
          <w:numId w:val="10"/>
        </w:numPr>
        <w:jc w:val="both"/>
        <w:rPr>
          <w:rFonts w:cstheme="minorHAnsi"/>
          <w:u w:val="none"/>
        </w:rPr>
      </w:pPr>
      <w:r w:rsidRPr="0099327D">
        <w:rPr>
          <w:rFonts w:cstheme="minorHAnsi"/>
          <w:u w:val="none"/>
        </w:rPr>
        <w:lastRenderedPageBreak/>
        <w:t>A gender action plan will be included in the CEO Endorsement Request in order to ensure that differences identified will be addressed.</w:t>
      </w:r>
    </w:p>
    <w:p w14:paraId="2659396D" w14:textId="19AC49CE" w:rsidR="0099327D" w:rsidRPr="0099327D" w:rsidRDefault="0099327D" w:rsidP="00B25658">
      <w:pPr>
        <w:pStyle w:val="ListParagraph"/>
        <w:numPr>
          <w:ilvl w:val="0"/>
          <w:numId w:val="10"/>
        </w:numPr>
        <w:jc w:val="both"/>
        <w:rPr>
          <w:rFonts w:cstheme="minorHAnsi"/>
          <w:u w:val="none"/>
        </w:rPr>
      </w:pPr>
      <w:r w:rsidRPr="0099327D">
        <w:rPr>
          <w:rFonts w:cstheme="minorHAnsi"/>
          <w:u w:val="none"/>
        </w:rPr>
        <w:t xml:space="preserve">The project results framework will include gender-specific activities. The framework will also include targets for women’s meaningful participation in project activities, and the project monitoring and evaluation budget will support the collection of gender-disaggregated data where relevant. </w:t>
      </w:r>
    </w:p>
    <w:p w14:paraId="47FCE017" w14:textId="77777777" w:rsidR="0099327D" w:rsidRDefault="0099327D" w:rsidP="00B25658">
      <w:pPr>
        <w:ind w:left="-426"/>
        <w:jc w:val="both"/>
        <w:rPr>
          <w:rFonts w:cstheme="minorHAnsi"/>
          <w:sz w:val="22"/>
          <w:szCs w:val="22"/>
        </w:rPr>
      </w:pPr>
    </w:p>
    <w:p w14:paraId="4B2DB5DC" w14:textId="2E3DA291" w:rsidR="0099327D" w:rsidRPr="000513F0" w:rsidRDefault="0099327D" w:rsidP="00B25658">
      <w:pPr>
        <w:ind w:left="-426"/>
        <w:jc w:val="both"/>
        <w:rPr>
          <w:rFonts w:cstheme="minorHAnsi"/>
          <w:sz w:val="22"/>
          <w:szCs w:val="22"/>
        </w:rPr>
      </w:pPr>
      <w:r w:rsidRPr="00060A84">
        <w:rPr>
          <w:rFonts w:cstheme="minorHAnsi"/>
          <w:sz w:val="22"/>
          <w:szCs w:val="22"/>
        </w:rPr>
        <w:t xml:space="preserve">Gender equality and women’s empowerment will be addressed throughout the project </w:t>
      </w:r>
      <w:r w:rsidRPr="000513F0">
        <w:rPr>
          <w:rFonts w:cstheme="minorHAnsi"/>
          <w:sz w:val="22"/>
          <w:szCs w:val="22"/>
        </w:rPr>
        <w:t>cycle in the following ways:</w:t>
      </w:r>
    </w:p>
    <w:p w14:paraId="42D7EFF5" w14:textId="77777777" w:rsidR="00B25658" w:rsidRDefault="00B25658" w:rsidP="00B25658">
      <w:pPr>
        <w:pStyle w:val="GEFFieldtoFillout"/>
        <w:shd w:val="clear" w:color="auto" w:fill="FFFFFF"/>
        <w:ind w:left="-426"/>
        <w:jc w:val="both"/>
        <w:rPr>
          <w:rFonts w:cstheme="minorHAnsi"/>
        </w:rPr>
      </w:pPr>
    </w:p>
    <w:p w14:paraId="0155B8CB" w14:textId="77777777" w:rsidR="00B25658" w:rsidRDefault="0099327D" w:rsidP="00B25658">
      <w:pPr>
        <w:pStyle w:val="GEFFieldtoFillout"/>
        <w:numPr>
          <w:ilvl w:val="0"/>
          <w:numId w:val="11"/>
        </w:numPr>
        <w:shd w:val="clear" w:color="auto" w:fill="FFFFFF"/>
        <w:jc w:val="both"/>
        <w:rPr>
          <w:rFonts w:cstheme="minorHAnsi"/>
        </w:rPr>
      </w:pPr>
      <w:r w:rsidRPr="000513F0">
        <w:rPr>
          <w:rFonts w:cstheme="minorHAnsi"/>
        </w:rPr>
        <w:t>The project will monitor the share of women and men who are direct project beneficiaries, and it will also monitor the nature of these benefits.</w:t>
      </w:r>
    </w:p>
    <w:p w14:paraId="64F59E56" w14:textId="6F8FF923" w:rsidR="00B25658" w:rsidRPr="00B25658" w:rsidRDefault="00B25658" w:rsidP="00B25658">
      <w:pPr>
        <w:pStyle w:val="GEFFieldtoFillout"/>
        <w:numPr>
          <w:ilvl w:val="0"/>
          <w:numId w:val="11"/>
        </w:numPr>
        <w:shd w:val="clear" w:color="auto" w:fill="FFFFFF"/>
        <w:jc w:val="both"/>
      </w:pPr>
      <w:r w:rsidRPr="000513F0">
        <w:rPr>
          <w:rFonts w:cstheme="minorHAnsi"/>
        </w:rPr>
        <w:t>Gender-sensitive targets and activities will be monitored in project reporting, both in annual reports and PIRs and in the mid-term evaluation and the terminal evaluation.</w:t>
      </w:r>
    </w:p>
    <w:p w14:paraId="47069444" w14:textId="488A65DC" w:rsidR="0099327D" w:rsidRDefault="00B25658" w:rsidP="00B25658">
      <w:pPr>
        <w:pStyle w:val="GEFFieldtoFillout"/>
        <w:numPr>
          <w:ilvl w:val="0"/>
          <w:numId w:val="11"/>
        </w:numPr>
        <w:shd w:val="clear" w:color="auto" w:fill="FFFFFF"/>
        <w:jc w:val="both"/>
      </w:pPr>
      <w:r w:rsidRPr="000513F0">
        <w:rPr>
          <w:rFonts w:cstheme="minorHAnsi"/>
        </w:rPr>
        <w:t>The project will take into account</w:t>
      </w:r>
      <w:r w:rsidRPr="00060A84">
        <w:rPr>
          <w:rFonts w:cstheme="minorHAnsi"/>
        </w:rPr>
        <w:t xml:space="preserve"> the </w:t>
      </w:r>
      <w:r w:rsidRPr="00060A84">
        <w:rPr>
          <w:rFonts w:cstheme="minorHAnsi"/>
          <w:i/>
        </w:rPr>
        <w:t>Gender Responsive National Communications Toolkit</w:t>
      </w:r>
      <w:r w:rsidRPr="00060A84">
        <w:rPr>
          <w:rFonts w:cstheme="minorHAnsi"/>
          <w:vertAlign w:val="superscript"/>
        </w:rPr>
        <w:t xml:space="preserve"> </w:t>
      </w:r>
      <w:r w:rsidRPr="00060A84">
        <w:rPr>
          <w:rFonts w:cstheme="minorHAnsi"/>
        </w:rPr>
        <w:t xml:space="preserve">developed by the Global Support Programme through UNDP and in collaboration with UNEP and </w:t>
      </w:r>
      <w:r>
        <w:rPr>
          <w:rFonts w:cstheme="minorHAnsi"/>
        </w:rPr>
        <w:t xml:space="preserve">the </w:t>
      </w:r>
      <w:r w:rsidRPr="00060A84">
        <w:rPr>
          <w:rFonts w:cstheme="minorHAnsi"/>
        </w:rPr>
        <w:t>GEF.</w:t>
      </w:r>
    </w:p>
    <w:p w14:paraId="6AC08CC7" w14:textId="77777777" w:rsidR="0099327D" w:rsidRDefault="0099327D" w:rsidP="004F2939">
      <w:pPr>
        <w:pStyle w:val="GEFFieldtoFillout"/>
        <w:shd w:val="clear" w:color="auto" w:fill="FFFFFF"/>
        <w:ind w:left="-426"/>
      </w:pPr>
    </w:p>
    <w:p w14:paraId="5054CAAB" w14:textId="7AF5EAF0" w:rsidR="0068554C" w:rsidRPr="00FE3C72" w:rsidRDefault="009C3AFF" w:rsidP="004F2939">
      <w:pPr>
        <w:pStyle w:val="GEFFieldtoFillout"/>
        <w:shd w:val="clear" w:color="auto" w:fill="FFFFFF"/>
        <w:ind w:left="-426"/>
        <w:jc w:val="both"/>
      </w:pPr>
      <w:r>
        <w:t xml:space="preserve">The project’s technical work, directed at improving the quality, continuity and availability of the national GHG inventory, will benefit men and women alike – through improved transparency, improved policy-making and an improved ability to measure mitigation efforts against the NDC target. </w:t>
      </w:r>
      <w:r w:rsidR="001C3E83">
        <w:t xml:space="preserve">The enhanced CCIC (Output </w:t>
      </w:r>
      <w:r w:rsidR="009274B1">
        <w:t>3.2</w:t>
      </w:r>
      <w:r w:rsidR="001C3E83">
        <w:t xml:space="preserve">) will have a section dedicated to gender-specific </w:t>
      </w:r>
      <w:r w:rsidR="007E5880">
        <w:t xml:space="preserve">information, publications and activities as they pertain the climate change impacts and climate change mitigation/adaptation efforts. </w:t>
      </w:r>
      <w:r w:rsidR="001C3E83">
        <w:t xml:space="preserve">Training provided by the </w:t>
      </w:r>
      <w:r w:rsidR="007E5880">
        <w:t xml:space="preserve">project (Output </w:t>
      </w:r>
      <w:r w:rsidR="009274B1">
        <w:t>3.1</w:t>
      </w:r>
      <w:r w:rsidR="007E5880">
        <w:t xml:space="preserve">) will be gender-balanced, ensuring at least 40% of beneficiaries are women (a ratio that is broadly reflective of the gender composition of the public sector). </w:t>
      </w:r>
      <w:r w:rsidR="00AB751C">
        <w:t xml:space="preserve">Output </w:t>
      </w:r>
      <w:r w:rsidR="00FE3C72">
        <w:t>1.3 (</w:t>
      </w:r>
      <w:r w:rsidR="00FE3C72" w:rsidRPr="00FE3C72">
        <w:t>Development of Tier 2 activity data for Mauritius’s land transport sector)</w:t>
      </w:r>
      <w:r w:rsidR="00FE3C72">
        <w:t xml:space="preserve"> will specifically collect data on the gender (as well as socio-economic and demographic characteristics) of private and public transport users so that future government policy-making and investment decisions can incorporate gender considerations.</w:t>
      </w:r>
    </w:p>
    <w:bookmarkEnd w:id="33"/>
    <w:p w14:paraId="04192759" w14:textId="77777777" w:rsidR="00B139BF" w:rsidRPr="001731CE" w:rsidRDefault="00B139BF" w:rsidP="00AA4E74">
      <w:pPr>
        <w:pStyle w:val="GEFFieldtoFillout"/>
        <w:shd w:val="clear" w:color="auto" w:fill="FFFFFF"/>
      </w:pPr>
    </w:p>
    <w:p w14:paraId="54073B53" w14:textId="5A3E1BB5" w:rsidR="0092560C" w:rsidRPr="001731CE" w:rsidRDefault="00C90C1A" w:rsidP="004F2939">
      <w:pPr>
        <w:pStyle w:val="GEFFieldtoFillout"/>
        <w:shd w:val="clear" w:color="auto" w:fill="FFFFFF"/>
        <w:ind w:left="-426"/>
      </w:pPr>
      <w:r w:rsidRPr="001731CE">
        <w:rPr>
          <w:i/>
        </w:rPr>
        <w:t>4.</w:t>
      </w:r>
      <w:r w:rsidRPr="001731CE">
        <w:t xml:space="preserve"> </w:t>
      </w:r>
      <w:r w:rsidRPr="00A610D8">
        <w:rPr>
          <w:i/>
        </w:rPr>
        <w:t>Private sector engagement</w:t>
      </w:r>
      <w:r w:rsidR="00C45DA5" w:rsidRPr="001731CE">
        <w:rPr>
          <w:i/>
        </w:rPr>
        <w:t>.</w:t>
      </w:r>
      <w:r w:rsidR="00320337" w:rsidRPr="001731CE">
        <w:t xml:space="preserve"> </w:t>
      </w:r>
      <w:bookmarkStart w:id="36" w:name="_Hlk511815675"/>
      <w:r w:rsidR="00C45DA5" w:rsidRPr="001731CE">
        <w:t>Will</w:t>
      </w:r>
      <w:r w:rsidR="00320337" w:rsidRPr="001731CE">
        <w:t xml:space="preserve"> </w:t>
      </w:r>
      <w:r w:rsidR="002C101F" w:rsidRPr="001731CE">
        <w:t xml:space="preserve">there be </w:t>
      </w:r>
      <w:r w:rsidR="00320337" w:rsidRPr="001731CE">
        <w:t xml:space="preserve">private sector engagement in the project? (yes </w:t>
      </w:r>
      <w:r w:rsidR="008C26C8">
        <w:rPr>
          <w:sz w:val="20"/>
          <w:szCs w:val="20"/>
        </w:rPr>
        <w:fldChar w:fldCharType="begin">
          <w:ffData>
            <w:name w:val="incl_gender_yes"/>
            <w:enabled/>
            <w:calcOnExit w:val="0"/>
            <w:checkBox>
              <w:sizeAuto/>
              <w:default w:val="1"/>
            </w:checkBox>
          </w:ffData>
        </w:fldChar>
      </w:r>
      <w:bookmarkStart w:id="37" w:name="incl_gender_yes"/>
      <w:r w:rsidR="008C26C8">
        <w:rPr>
          <w:sz w:val="20"/>
          <w:szCs w:val="20"/>
        </w:rPr>
        <w:instrText xml:space="preserve"> FORMCHECKBOX </w:instrText>
      </w:r>
      <w:r w:rsidR="00A755A1">
        <w:rPr>
          <w:sz w:val="20"/>
          <w:szCs w:val="20"/>
        </w:rPr>
      </w:r>
      <w:r w:rsidR="00A755A1">
        <w:rPr>
          <w:sz w:val="20"/>
          <w:szCs w:val="20"/>
        </w:rPr>
        <w:fldChar w:fldCharType="separate"/>
      </w:r>
      <w:r w:rsidR="008C26C8">
        <w:rPr>
          <w:sz w:val="20"/>
          <w:szCs w:val="20"/>
        </w:rPr>
        <w:fldChar w:fldCharType="end"/>
      </w:r>
      <w:bookmarkEnd w:id="37"/>
      <w:r w:rsidR="00320337" w:rsidRPr="001731CE">
        <w:rPr>
          <w:sz w:val="20"/>
          <w:szCs w:val="20"/>
        </w:rPr>
        <w:t xml:space="preserve"> /no </w:t>
      </w:r>
      <w:r w:rsidR="00320337" w:rsidRPr="001731CE">
        <w:rPr>
          <w:sz w:val="20"/>
          <w:szCs w:val="20"/>
        </w:rPr>
        <w:fldChar w:fldCharType="begin">
          <w:ffData>
            <w:name w:val="incl_gender_no"/>
            <w:enabled/>
            <w:calcOnExit w:val="0"/>
            <w:checkBox>
              <w:sizeAuto/>
              <w:default w:val="0"/>
            </w:checkBox>
          </w:ffData>
        </w:fldChar>
      </w:r>
      <w:r w:rsidR="00320337" w:rsidRPr="001731CE">
        <w:rPr>
          <w:sz w:val="20"/>
          <w:szCs w:val="20"/>
        </w:rPr>
        <w:instrText xml:space="preserve"> FORMCHECKBOX </w:instrText>
      </w:r>
      <w:r w:rsidR="00A755A1">
        <w:rPr>
          <w:sz w:val="20"/>
          <w:szCs w:val="20"/>
        </w:rPr>
      </w:r>
      <w:r w:rsidR="00A755A1">
        <w:rPr>
          <w:sz w:val="20"/>
          <w:szCs w:val="20"/>
        </w:rPr>
        <w:fldChar w:fldCharType="separate"/>
      </w:r>
      <w:r w:rsidR="00320337" w:rsidRPr="001731CE">
        <w:rPr>
          <w:sz w:val="20"/>
          <w:szCs w:val="20"/>
        </w:rPr>
        <w:fldChar w:fldCharType="end"/>
      </w:r>
      <w:r w:rsidR="00320337" w:rsidRPr="001731CE">
        <w:rPr>
          <w:sz w:val="20"/>
          <w:szCs w:val="20"/>
        </w:rPr>
        <w:t>)</w:t>
      </w:r>
      <w:r w:rsidR="00320337" w:rsidRPr="001731CE">
        <w:t xml:space="preserve">. </w:t>
      </w:r>
      <w:r w:rsidR="00C45DA5" w:rsidRPr="001731CE">
        <w:t>P</w:t>
      </w:r>
      <w:r w:rsidR="00320337" w:rsidRPr="001731CE">
        <w:t xml:space="preserve">lease briefly </w:t>
      </w:r>
      <w:r w:rsidR="00C45DA5" w:rsidRPr="001731CE">
        <w:t>explain the rationale behind your answer.</w:t>
      </w:r>
      <w:r w:rsidR="00320337" w:rsidRPr="001731CE">
        <w:t xml:space="preserve"> </w:t>
      </w:r>
      <w:r w:rsidRPr="001731CE">
        <w:t xml:space="preserve"> </w:t>
      </w:r>
    </w:p>
    <w:bookmarkEnd w:id="36"/>
    <w:p w14:paraId="347BCF9F" w14:textId="1BB9D615" w:rsidR="00C90C1A" w:rsidRDefault="00C90C1A" w:rsidP="004F2939">
      <w:pPr>
        <w:pStyle w:val="GEFQuestion"/>
        <w:shd w:val="clear" w:color="auto" w:fill="FFFFFF"/>
        <w:ind w:left="-426"/>
      </w:pPr>
    </w:p>
    <w:p w14:paraId="4356A99D" w14:textId="409E008E" w:rsidR="008C26C8" w:rsidRPr="00A610D8" w:rsidRDefault="00A610D8" w:rsidP="004F2939">
      <w:pPr>
        <w:ind w:left="-426"/>
        <w:jc w:val="both"/>
        <w:rPr>
          <w:sz w:val="22"/>
          <w:szCs w:val="22"/>
        </w:rPr>
      </w:pPr>
      <w:r w:rsidRPr="00A610D8">
        <w:rPr>
          <w:sz w:val="22"/>
          <w:szCs w:val="22"/>
        </w:rPr>
        <w:t>The private sector</w:t>
      </w:r>
      <w:r>
        <w:rPr>
          <w:sz w:val="22"/>
          <w:szCs w:val="22"/>
        </w:rPr>
        <w:t xml:space="preserve"> will be </w:t>
      </w:r>
      <w:r w:rsidR="00444250">
        <w:rPr>
          <w:sz w:val="22"/>
          <w:szCs w:val="22"/>
        </w:rPr>
        <w:t xml:space="preserve">involved in </w:t>
      </w:r>
      <w:r w:rsidR="00413AE4">
        <w:rPr>
          <w:sz w:val="22"/>
          <w:szCs w:val="22"/>
        </w:rPr>
        <w:t>two</w:t>
      </w:r>
      <w:r w:rsidR="00444250">
        <w:rPr>
          <w:sz w:val="22"/>
          <w:szCs w:val="22"/>
        </w:rPr>
        <w:t xml:space="preserve"> principal ways: (1) IPPs will work with the University of Mauritius, the CEB and the MCIA to develop Tier 3 emission factors for the </w:t>
      </w:r>
      <w:r w:rsidR="0043419B">
        <w:rPr>
          <w:sz w:val="22"/>
          <w:szCs w:val="22"/>
        </w:rPr>
        <w:t>5</w:t>
      </w:r>
      <w:r w:rsidR="00444250">
        <w:rPr>
          <w:sz w:val="22"/>
          <w:szCs w:val="22"/>
        </w:rPr>
        <w:t xml:space="preserve"> privately-owned power plants that use fossil fuels; </w:t>
      </w:r>
      <w:r w:rsidR="00413AE4">
        <w:rPr>
          <w:sz w:val="22"/>
          <w:szCs w:val="22"/>
        </w:rPr>
        <w:t xml:space="preserve">and </w:t>
      </w:r>
      <w:r w:rsidR="00444250">
        <w:rPr>
          <w:sz w:val="22"/>
          <w:szCs w:val="22"/>
        </w:rPr>
        <w:t>(2) Business Mauritius will coordinate with key private sector actors (notably private bus companies, taxi companies and private forestland owners) to supply data (e.g. vehicular activity data), participate in project data-collection activities (e.g. facilitate questionnaire surveys of bus and taxi passengers) and facilitate access to land (forests</w:t>
      </w:r>
      <w:r w:rsidR="00413AE4">
        <w:rPr>
          <w:sz w:val="22"/>
          <w:szCs w:val="22"/>
        </w:rPr>
        <w:t xml:space="preserve">). In addition to </w:t>
      </w:r>
      <w:r w:rsidR="00927D58">
        <w:rPr>
          <w:sz w:val="22"/>
          <w:szCs w:val="22"/>
        </w:rPr>
        <w:t xml:space="preserve">improving the quality of the national GHG inventory, the </w:t>
      </w:r>
      <w:r w:rsidR="00946C93">
        <w:rPr>
          <w:sz w:val="22"/>
          <w:szCs w:val="22"/>
        </w:rPr>
        <w:t xml:space="preserve">engagement with the private sector will have spill-over engagement benefits, notably in the context of enhanced private sector involvement in the Fourth National Communication (2020) and in the context of the National Energy </w:t>
      </w:r>
      <w:proofErr w:type="spellStart"/>
      <w:r w:rsidR="00946C93">
        <w:rPr>
          <w:sz w:val="22"/>
          <w:szCs w:val="22"/>
        </w:rPr>
        <w:t>Efficency</w:t>
      </w:r>
      <w:proofErr w:type="spellEnd"/>
      <w:r w:rsidR="00946C93">
        <w:rPr>
          <w:sz w:val="22"/>
          <w:szCs w:val="22"/>
        </w:rPr>
        <w:t xml:space="preserve"> Programme – a joint initiative of the Energy Efficiency Management Office and Business Mauritius</w:t>
      </w:r>
      <w:r w:rsidR="002A6C34">
        <w:rPr>
          <w:sz w:val="22"/>
          <w:szCs w:val="22"/>
        </w:rPr>
        <w:t xml:space="preserve"> –</w:t>
      </w:r>
      <w:r w:rsidR="00946C93">
        <w:rPr>
          <w:sz w:val="22"/>
          <w:szCs w:val="22"/>
        </w:rPr>
        <w:t xml:space="preserve"> which is generating considerable data and expertise in the reduction of energy consumption in industry/manufacturing and which </w:t>
      </w:r>
      <w:r w:rsidR="002A6C34">
        <w:rPr>
          <w:sz w:val="22"/>
          <w:szCs w:val="22"/>
        </w:rPr>
        <w:t>will</w:t>
      </w:r>
      <w:r w:rsidR="00946C93">
        <w:rPr>
          <w:sz w:val="22"/>
          <w:szCs w:val="22"/>
        </w:rPr>
        <w:t xml:space="preserve"> be complemented by a greater (Tier 2) understanding of associated GHG mitigation benefits.</w:t>
      </w:r>
    </w:p>
    <w:p w14:paraId="4C754B11" w14:textId="77777777" w:rsidR="008C26C8" w:rsidRPr="008C26C8" w:rsidRDefault="008C26C8" w:rsidP="004F2939">
      <w:pPr>
        <w:ind w:left="-426"/>
      </w:pPr>
    </w:p>
    <w:p w14:paraId="0CD8D2E4" w14:textId="77777777" w:rsidR="00CB0048" w:rsidRPr="001731CE" w:rsidRDefault="00C90C1A" w:rsidP="004F2939">
      <w:pPr>
        <w:shd w:val="clear" w:color="auto" w:fill="FFFFFF"/>
        <w:ind w:left="-426"/>
        <w:outlineLvl w:val="0"/>
        <w:rPr>
          <w:color w:val="000000"/>
          <w:sz w:val="22"/>
          <w:szCs w:val="22"/>
        </w:rPr>
      </w:pPr>
      <w:r w:rsidRPr="001731CE">
        <w:rPr>
          <w:i/>
          <w:color w:val="000000"/>
          <w:sz w:val="22"/>
          <w:szCs w:val="22"/>
        </w:rPr>
        <w:t>5</w:t>
      </w:r>
      <w:r w:rsidR="00FC29F6" w:rsidRPr="001731CE">
        <w:rPr>
          <w:i/>
          <w:color w:val="000000"/>
          <w:sz w:val="22"/>
          <w:szCs w:val="22"/>
        </w:rPr>
        <w:t>.</w:t>
      </w:r>
      <w:r w:rsidR="00870816" w:rsidRPr="001731CE">
        <w:rPr>
          <w:i/>
          <w:color w:val="000000"/>
          <w:sz w:val="22"/>
          <w:szCs w:val="22"/>
        </w:rPr>
        <w:t xml:space="preserve"> </w:t>
      </w:r>
      <w:r w:rsidR="008857BF" w:rsidRPr="006B2D20">
        <w:rPr>
          <w:i/>
          <w:color w:val="000000"/>
          <w:sz w:val="22"/>
          <w:szCs w:val="22"/>
        </w:rPr>
        <w:t>Risk</w:t>
      </w:r>
      <w:r w:rsidR="00AA4AC7" w:rsidRPr="006B2D20">
        <w:rPr>
          <w:i/>
          <w:color w:val="000000"/>
          <w:sz w:val="22"/>
          <w:szCs w:val="22"/>
        </w:rPr>
        <w:t>s</w:t>
      </w:r>
      <w:r w:rsidR="008857BF" w:rsidRPr="001731CE">
        <w:rPr>
          <w:color w:val="000000"/>
          <w:sz w:val="22"/>
          <w:szCs w:val="22"/>
        </w:rPr>
        <w:t xml:space="preserve">. </w:t>
      </w:r>
      <w:r w:rsidR="00870816" w:rsidRPr="001731CE">
        <w:rPr>
          <w:color w:val="000000"/>
          <w:sz w:val="22"/>
          <w:szCs w:val="22"/>
        </w:rPr>
        <w:t>Indicate risks, including climate change</w:t>
      </w:r>
      <w:r w:rsidR="007F44AA" w:rsidRPr="001731CE">
        <w:rPr>
          <w:color w:val="000000"/>
          <w:sz w:val="22"/>
          <w:szCs w:val="22"/>
        </w:rPr>
        <w:t>, potential social and environmental</w:t>
      </w:r>
      <w:r w:rsidR="00870816" w:rsidRPr="001731CE">
        <w:rPr>
          <w:color w:val="000000"/>
          <w:sz w:val="22"/>
          <w:szCs w:val="22"/>
        </w:rPr>
        <w:t xml:space="preserve"> risks that might prevent the pro</w:t>
      </w:r>
      <w:r w:rsidR="00DF5CA0" w:rsidRPr="001731CE">
        <w:rPr>
          <w:color w:val="000000"/>
          <w:sz w:val="22"/>
          <w:szCs w:val="22"/>
        </w:rPr>
        <w:t>ject</w:t>
      </w:r>
      <w:r w:rsidR="00870816" w:rsidRPr="001731CE">
        <w:rPr>
          <w:color w:val="000000"/>
          <w:sz w:val="22"/>
          <w:szCs w:val="22"/>
        </w:rPr>
        <w:t xml:space="preserve"> objectives from being achieved</w:t>
      </w:r>
      <w:r w:rsidR="00313363" w:rsidRPr="001731CE">
        <w:rPr>
          <w:color w:val="000000"/>
          <w:sz w:val="22"/>
          <w:szCs w:val="22"/>
        </w:rPr>
        <w:t xml:space="preserve"> or may be resulting from project implementation</w:t>
      </w:r>
      <w:r w:rsidR="00870816" w:rsidRPr="001731CE">
        <w:rPr>
          <w:color w:val="000000"/>
          <w:sz w:val="22"/>
          <w:szCs w:val="22"/>
        </w:rPr>
        <w:t>, and</w:t>
      </w:r>
      <w:r w:rsidR="002C7D5B" w:rsidRPr="001731CE">
        <w:rPr>
          <w:color w:val="000000"/>
          <w:sz w:val="22"/>
          <w:szCs w:val="22"/>
        </w:rPr>
        <w:t>,</w:t>
      </w:r>
      <w:r w:rsidR="00870816" w:rsidRPr="001731CE">
        <w:rPr>
          <w:color w:val="000000"/>
          <w:sz w:val="22"/>
          <w:szCs w:val="22"/>
        </w:rPr>
        <w:t xml:space="preserve"> if possible, propose measures that address these risks to be further developed during the project design</w:t>
      </w:r>
      <w:r w:rsidR="00693747" w:rsidRPr="001731CE">
        <w:rPr>
          <w:color w:val="000000"/>
          <w:sz w:val="22"/>
          <w:szCs w:val="22"/>
        </w:rPr>
        <w:t xml:space="preserve"> (table format acceptable)</w:t>
      </w:r>
      <w:r w:rsidR="0092560C" w:rsidRPr="001731CE">
        <w:rPr>
          <w:color w:val="000000"/>
          <w:sz w:val="22"/>
          <w:szCs w:val="22"/>
        </w:rPr>
        <w:t>.</w:t>
      </w:r>
      <w:r w:rsidR="0092560C" w:rsidRPr="001731CE">
        <w:t xml:space="preserve"> </w:t>
      </w:r>
    </w:p>
    <w:p w14:paraId="751F3D48" w14:textId="6AD5091E" w:rsidR="005D3904" w:rsidRDefault="005D3904" w:rsidP="00AA4E74">
      <w:pPr>
        <w:pStyle w:val="GEFFieldtoFillout"/>
        <w:shd w:val="clear" w:color="auto" w:fill="FFFFFF"/>
      </w:pPr>
    </w:p>
    <w:p w14:paraId="09CBB977" w14:textId="29E78F5B" w:rsidR="00157C1D" w:rsidRPr="00157C1D" w:rsidRDefault="00157C1D" w:rsidP="004F2939">
      <w:pPr>
        <w:pStyle w:val="GEFFieldtoFillout"/>
        <w:shd w:val="clear" w:color="auto" w:fill="FFFFFF"/>
        <w:ind w:left="-426"/>
        <w:rPr>
          <w:u w:val="single"/>
        </w:rPr>
      </w:pPr>
      <w:r w:rsidRPr="00157C1D">
        <w:rPr>
          <w:u w:val="single"/>
        </w:rPr>
        <w:t>Table 4: Project Risks</w:t>
      </w:r>
    </w:p>
    <w:p w14:paraId="0946591B" w14:textId="77777777" w:rsidR="00157C1D" w:rsidRDefault="00157C1D" w:rsidP="00AA4E74">
      <w:pPr>
        <w:pStyle w:val="GEFFieldtoFillout"/>
        <w:shd w:val="clear" w:color="auto" w:fill="FFFFFF"/>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93"/>
        <w:gridCol w:w="7512"/>
      </w:tblGrid>
      <w:tr w:rsidR="00244F9B" w:rsidRPr="004402DF" w14:paraId="43849FDB" w14:textId="77777777" w:rsidTr="004F2939">
        <w:trPr>
          <w:trHeight w:val="345"/>
        </w:trPr>
        <w:tc>
          <w:tcPr>
            <w:tcW w:w="1560" w:type="dxa"/>
            <w:shd w:val="clear" w:color="auto" w:fill="D9D9D9" w:themeFill="background1" w:themeFillShade="D9"/>
            <w:vAlign w:val="center"/>
          </w:tcPr>
          <w:p w14:paraId="163D181C" w14:textId="77777777" w:rsidR="00244F9B" w:rsidRPr="004402DF" w:rsidRDefault="00244F9B" w:rsidP="005A563E">
            <w:pPr>
              <w:ind w:left="34" w:right="-222" w:hanging="34"/>
              <w:jc w:val="center"/>
              <w:outlineLvl w:val="0"/>
              <w:rPr>
                <w:b/>
                <w:sz w:val="18"/>
                <w:szCs w:val="18"/>
              </w:rPr>
            </w:pPr>
            <w:r w:rsidRPr="004402DF">
              <w:rPr>
                <w:b/>
                <w:sz w:val="18"/>
                <w:szCs w:val="18"/>
              </w:rPr>
              <w:t>Risk</w:t>
            </w:r>
          </w:p>
        </w:tc>
        <w:tc>
          <w:tcPr>
            <w:tcW w:w="993" w:type="dxa"/>
            <w:shd w:val="clear" w:color="auto" w:fill="D9D9D9" w:themeFill="background1" w:themeFillShade="D9"/>
            <w:vAlign w:val="center"/>
          </w:tcPr>
          <w:p w14:paraId="40D2A61D" w14:textId="77777777" w:rsidR="00244F9B" w:rsidRPr="004402DF" w:rsidRDefault="00244F9B" w:rsidP="005A563E">
            <w:pPr>
              <w:ind w:left="6" w:right="34" w:hanging="6"/>
              <w:jc w:val="center"/>
              <w:outlineLvl w:val="0"/>
              <w:rPr>
                <w:b/>
                <w:sz w:val="18"/>
                <w:szCs w:val="18"/>
              </w:rPr>
            </w:pPr>
            <w:r w:rsidRPr="004402DF">
              <w:rPr>
                <w:b/>
                <w:sz w:val="18"/>
                <w:szCs w:val="18"/>
              </w:rPr>
              <w:t>Risk Category</w:t>
            </w:r>
          </w:p>
        </w:tc>
        <w:tc>
          <w:tcPr>
            <w:tcW w:w="7512" w:type="dxa"/>
            <w:shd w:val="clear" w:color="auto" w:fill="D9D9D9" w:themeFill="background1" w:themeFillShade="D9"/>
            <w:vAlign w:val="center"/>
          </w:tcPr>
          <w:p w14:paraId="6C3B8C5C" w14:textId="77777777" w:rsidR="00244F9B" w:rsidRPr="004402DF" w:rsidRDefault="00244F9B" w:rsidP="005A563E">
            <w:pPr>
              <w:ind w:left="-709" w:right="-222"/>
              <w:jc w:val="center"/>
              <w:outlineLvl w:val="0"/>
              <w:rPr>
                <w:b/>
                <w:sz w:val="18"/>
                <w:szCs w:val="18"/>
              </w:rPr>
            </w:pPr>
            <w:r w:rsidRPr="004402DF">
              <w:rPr>
                <w:b/>
                <w:sz w:val="18"/>
                <w:szCs w:val="18"/>
              </w:rPr>
              <w:t>Mitigation Approach</w:t>
            </w:r>
          </w:p>
        </w:tc>
      </w:tr>
      <w:tr w:rsidR="00244F9B" w:rsidRPr="004402DF" w14:paraId="2207EECB" w14:textId="77777777" w:rsidTr="004F2939">
        <w:trPr>
          <w:trHeight w:val="345"/>
        </w:trPr>
        <w:tc>
          <w:tcPr>
            <w:tcW w:w="1560" w:type="dxa"/>
            <w:shd w:val="clear" w:color="auto" w:fill="auto"/>
            <w:vAlign w:val="center"/>
          </w:tcPr>
          <w:p w14:paraId="51F566E7" w14:textId="563C086C" w:rsidR="00244F9B" w:rsidRPr="004402DF" w:rsidRDefault="00504687" w:rsidP="005A563E">
            <w:pPr>
              <w:ind w:left="34" w:right="132" w:hanging="34"/>
              <w:outlineLvl w:val="0"/>
              <w:rPr>
                <w:sz w:val="18"/>
                <w:szCs w:val="18"/>
              </w:rPr>
            </w:pPr>
            <w:r w:rsidRPr="004402DF">
              <w:rPr>
                <w:color w:val="000000"/>
                <w:sz w:val="18"/>
                <w:szCs w:val="18"/>
              </w:rPr>
              <w:t xml:space="preserve">Political risks associated with changes in </w:t>
            </w:r>
            <w:r w:rsidRPr="004402DF">
              <w:rPr>
                <w:color w:val="000000"/>
                <w:sz w:val="18"/>
                <w:szCs w:val="18"/>
              </w:rPr>
              <w:lastRenderedPageBreak/>
              <w:t>government priorities</w:t>
            </w:r>
          </w:p>
        </w:tc>
        <w:tc>
          <w:tcPr>
            <w:tcW w:w="993" w:type="dxa"/>
            <w:vAlign w:val="center"/>
          </w:tcPr>
          <w:p w14:paraId="4E799DA9" w14:textId="77777777" w:rsidR="00244F9B" w:rsidRPr="004402DF" w:rsidRDefault="00244F9B" w:rsidP="005A563E">
            <w:pPr>
              <w:ind w:left="6" w:right="34" w:hanging="6"/>
              <w:jc w:val="center"/>
              <w:outlineLvl w:val="0"/>
              <w:rPr>
                <w:sz w:val="18"/>
                <w:szCs w:val="18"/>
              </w:rPr>
            </w:pPr>
            <w:r w:rsidRPr="004402DF">
              <w:rPr>
                <w:sz w:val="18"/>
                <w:szCs w:val="18"/>
              </w:rPr>
              <w:lastRenderedPageBreak/>
              <w:t>L</w:t>
            </w:r>
          </w:p>
        </w:tc>
        <w:tc>
          <w:tcPr>
            <w:tcW w:w="7512" w:type="dxa"/>
            <w:shd w:val="clear" w:color="auto" w:fill="auto"/>
            <w:vAlign w:val="center"/>
          </w:tcPr>
          <w:p w14:paraId="420A5912" w14:textId="67428F9E" w:rsidR="004A5B89" w:rsidRPr="00E16436" w:rsidRDefault="004A5B89" w:rsidP="004A5B89">
            <w:pPr>
              <w:autoSpaceDE w:val="0"/>
              <w:autoSpaceDN w:val="0"/>
              <w:adjustRightInd w:val="0"/>
              <w:ind w:right="132"/>
              <w:rPr>
                <w:sz w:val="18"/>
                <w:szCs w:val="18"/>
                <w:lang w:val="en-US"/>
              </w:rPr>
            </w:pPr>
            <w:r w:rsidRPr="00E16436">
              <w:rPr>
                <w:sz w:val="18"/>
                <w:szCs w:val="18"/>
              </w:rPr>
              <w:t>As a climate-vulnerable SIDS, the Republic of Mauritius is a strong supporter of the UNFCCC and Paris Agreement</w:t>
            </w:r>
            <w:r w:rsidR="00E16436" w:rsidRPr="00E16436">
              <w:rPr>
                <w:sz w:val="18"/>
                <w:szCs w:val="18"/>
              </w:rPr>
              <w:t xml:space="preserve">. Furthermore, the GEF project supports obligatory (as opposed to optional) GHG reporting requirements under the UNFCCC, notably in the form of the national GHG inventory. Accordingly, it is extremely unlikely that government support </w:t>
            </w:r>
            <w:r w:rsidR="00E16436">
              <w:rPr>
                <w:sz w:val="18"/>
                <w:szCs w:val="18"/>
              </w:rPr>
              <w:t xml:space="preserve">for the project </w:t>
            </w:r>
            <w:r w:rsidR="00E16436" w:rsidRPr="00E16436">
              <w:rPr>
                <w:sz w:val="18"/>
                <w:szCs w:val="18"/>
              </w:rPr>
              <w:t xml:space="preserve">will decline from its </w:t>
            </w:r>
            <w:r w:rsidR="00E16436" w:rsidRPr="00E16436">
              <w:rPr>
                <w:sz w:val="18"/>
                <w:szCs w:val="18"/>
              </w:rPr>
              <w:lastRenderedPageBreak/>
              <w:t xml:space="preserve">currently high level. </w:t>
            </w:r>
            <w:r w:rsidRPr="00E16436">
              <w:rPr>
                <w:sz w:val="18"/>
                <w:szCs w:val="18"/>
                <w:lang w:val="en-US"/>
              </w:rPr>
              <w:t xml:space="preserve">Continuous </w:t>
            </w:r>
            <w:r w:rsidR="00E16436" w:rsidRPr="00E16436">
              <w:rPr>
                <w:sz w:val="18"/>
                <w:szCs w:val="18"/>
                <w:lang w:val="en-US"/>
              </w:rPr>
              <w:t>engagement</w:t>
            </w:r>
            <w:r w:rsidRPr="00E16436">
              <w:rPr>
                <w:sz w:val="18"/>
                <w:szCs w:val="18"/>
                <w:lang w:val="en-US"/>
              </w:rPr>
              <w:t xml:space="preserve"> with </w:t>
            </w:r>
            <w:r w:rsidR="00E16436" w:rsidRPr="00E16436">
              <w:rPr>
                <w:sz w:val="18"/>
                <w:szCs w:val="18"/>
                <w:lang w:val="en-US"/>
              </w:rPr>
              <w:t xml:space="preserve">a broad range of </w:t>
            </w:r>
            <w:r w:rsidRPr="00E16436">
              <w:rPr>
                <w:sz w:val="18"/>
                <w:szCs w:val="18"/>
                <w:lang w:val="en-US"/>
              </w:rPr>
              <w:t>stakeholders will</w:t>
            </w:r>
            <w:r w:rsidR="00E16436" w:rsidRPr="00E16436">
              <w:rPr>
                <w:sz w:val="18"/>
                <w:szCs w:val="18"/>
                <w:lang w:val="en-US"/>
              </w:rPr>
              <w:t xml:space="preserve"> further </w:t>
            </w:r>
            <w:proofErr w:type="spellStart"/>
            <w:r w:rsidRPr="00E16436">
              <w:rPr>
                <w:sz w:val="18"/>
                <w:szCs w:val="18"/>
                <w:lang w:val="en-US"/>
              </w:rPr>
              <w:t>minimi</w:t>
            </w:r>
            <w:r w:rsidR="00E16436" w:rsidRPr="00E16436">
              <w:rPr>
                <w:sz w:val="18"/>
                <w:szCs w:val="18"/>
                <w:lang w:val="en-US"/>
              </w:rPr>
              <w:t>s</w:t>
            </w:r>
            <w:r w:rsidRPr="00E16436">
              <w:rPr>
                <w:sz w:val="18"/>
                <w:szCs w:val="18"/>
                <w:lang w:val="en-US"/>
              </w:rPr>
              <w:t>e</w:t>
            </w:r>
            <w:proofErr w:type="spellEnd"/>
            <w:r w:rsidRPr="00E16436">
              <w:rPr>
                <w:sz w:val="18"/>
                <w:szCs w:val="18"/>
                <w:lang w:val="en-US"/>
              </w:rPr>
              <w:t xml:space="preserve"> impacts of any political changes on the project</w:t>
            </w:r>
            <w:r w:rsidR="00E16436" w:rsidRPr="00E16436">
              <w:rPr>
                <w:sz w:val="18"/>
                <w:szCs w:val="18"/>
                <w:lang w:val="en-US"/>
              </w:rPr>
              <w:t>, as will the fact that the Executing Entity (</w:t>
            </w:r>
            <w:proofErr w:type="spellStart"/>
            <w:r w:rsidR="00E16436" w:rsidRPr="00E16436">
              <w:rPr>
                <w:sz w:val="18"/>
                <w:szCs w:val="18"/>
              </w:rPr>
              <w:t>MoSSNSESD</w:t>
            </w:r>
            <w:proofErr w:type="spellEnd"/>
            <w:r w:rsidR="00E16436" w:rsidRPr="00E16436">
              <w:rPr>
                <w:sz w:val="18"/>
                <w:szCs w:val="18"/>
              </w:rPr>
              <w:t>) also serves as the UNFCCC Focal Point for Mauritius.</w:t>
            </w:r>
          </w:p>
        </w:tc>
      </w:tr>
      <w:tr w:rsidR="00244F9B" w:rsidRPr="004402DF" w14:paraId="2B87ECF1" w14:textId="77777777" w:rsidTr="004F2939">
        <w:trPr>
          <w:trHeight w:val="345"/>
        </w:trPr>
        <w:tc>
          <w:tcPr>
            <w:tcW w:w="1560" w:type="dxa"/>
            <w:shd w:val="clear" w:color="auto" w:fill="auto"/>
            <w:vAlign w:val="center"/>
          </w:tcPr>
          <w:p w14:paraId="2560A0C3" w14:textId="792E91D4" w:rsidR="00244F9B" w:rsidRPr="004402DF" w:rsidRDefault="00504687" w:rsidP="005A563E">
            <w:pPr>
              <w:ind w:left="34" w:right="132"/>
              <w:outlineLvl w:val="0"/>
              <w:rPr>
                <w:sz w:val="18"/>
                <w:szCs w:val="18"/>
              </w:rPr>
            </w:pPr>
            <w:r w:rsidRPr="004402DF">
              <w:rPr>
                <w:color w:val="000000"/>
                <w:sz w:val="18"/>
                <w:szCs w:val="18"/>
              </w:rPr>
              <w:lastRenderedPageBreak/>
              <w:t>Inadequate participation and support of all stakeholders and partners, and po</w:t>
            </w:r>
            <w:r w:rsidR="008F3DB8">
              <w:rPr>
                <w:color w:val="000000"/>
                <w:sz w:val="18"/>
                <w:szCs w:val="18"/>
              </w:rPr>
              <w:t>o</w:t>
            </w:r>
            <w:r w:rsidRPr="004402DF">
              <w:rPr>
                <w:color w:val="000000"/>
                <w:sz w:val="18"/>
                <w:szCs w:val="18"/>
              </w:rPr>
              <w:t>r cooperation between participating institutions</w:t>
            </w:r>
          </w:p>
        </w:tc>
        <w:tc>
          <w:tcPr>
            <w:tcW w:w="993" w:type="dxa"/>
            <w:vAlign w:val="center"/>
          </w:tcPr>
          <w:p w14:paraId="07042977" w14:textId="77777777" w:rsidR="00244F9B" w:rsidRPr="004402DF" w:rsidRDefault="00244F9B" w:rsidP="005A563E">
            <w:pPr>
              <w:ind w:left="6" w:right="34" w:hanging="6"/>
              <w:jc w:val="center"/>
              <w:outlineLvl w:val="0"/>
              <w:rPr>
                <w:sz w:val="18"/>
                <w:szCs w:val="18"/>
              </w:rPr>
            </w:pPr>
            <w:r w:rsidRPr="004402DF">
              <w:rPr>
                <w:sz w:val="18"/>
                <w:szCs w:val="18"/>
              </w:rPr>
              <w:t>L</w:t>
            </w:r>
          </w:p>
        </w:tc>
        <w:tc>
          <w:tcPr>
            <w:tcW w:w="7512" w:type="dxa"/>
            <w:shd w:val="clear" w:color="auto" w:fill="auto"/>
            <w:vAlign w:val="center"/>
          </w:tcPr>
          <w:p w14:paraId="45B77ECA" w14:textId="09122EAA" w:rsidR="001E3183" w:rsidRPr="006A570A" w:rsidRDefault="001E3183" w:rsidP="006A570A">
            <w:pPr>
              <w:pStyle w:val="Footer"/>
              <w:tabs>
                <w:tab w:val="clear" w:pos="4320"/>
                <w:tab w:val="clear" w:pos="8640"/>
              </w:tabs>
              <w:ind w:right="132"/>
              <w:rPr>
                <w:sz w:val="21"/>
                <w:szCs w:val="21"/>
                <w:lang w:val="en-US"/>
              </w:rPr>
            </w:pPr>
            <w:r w:rsidRPr="006A570A">
              <w:rPr>
                <w:sz w:val="18"/>
                <w:szCs w:val="18"/>
                <w:lang w:val="en-GB"/>
              </w:rPr>
              <w:t xml:space="preserve">The project responds to explicit requests for assistance articulated in the Third National Communication and the National GHG Inventory Report, and as further reinforced in other official reports (such as the Technology Needs Assessment and the National Capacity Self-Assessment) and during stakeholder consultations undertaken for PIF development. The level of stakeholder interest and engagement is extremely high and all project interventions are explicitly aligned with the relevant institutions’ strategies and policies (e.g. the Long-Term Energy Strategy, the MARENA Action Plan, the </w:t>
            </w:r>
            <w:r w:rsidRPr="006A570A">
              <w:rPr>
                <w:sz w:val="18"/>
                <w:szCs w:val="18"/>
              </w:rPr>
              <w:t>Strategic Plan of the Ministry of Agro-Industry and Food Securit</w:t>
            </w:r>
            <w:r w:rsidRPr="006A570A">
              <w:rPr>
                <w:sz w:val="18"/>
                <w:szCs w:val="18"/>
                <w:lang w:val="en-GB"/>
              </w:rPr>
              <w:t xml:space="preserve">y, etc.). Inadequate participation </w:t>
            </w:r>
            <w:r w:rsidR="006A570A" w:rsidRPr="006A570A">
              <w:rPr>
                <w:sz w:val="18"/>
                <w:szCs w:val="18"/>
                <w:lang w:val="en-GB"/>
              </w:rPr>
              <w:t>is, accordingly, considered to be a low risk, further mitigated by the project’s intention to engage in c</w:t>
            </w:r>
            <w:proofErr w:type="spellStart"/>
            <w:r w:rsidRPr="006A570A">
              <w:rPr>
                <w:sz w:val="18"/>
                <w:szCs w:val="18"/>
                <w:lang w:val="en-US"/>
              </w:rPr>
              <w:t>ontinuous</w:t>
            </w:r>
            <w:proofErr w:type="spellEnd"/>
            <w:r w:rsidRPr="006A570A">
              <w:rPr>
                <w:sz w:val="18"/>
                <w:szCs w:val="18"/>
                <w:lang w:val="en-US"/>
              </w:rPr>
              <w:t xml:space="preserve"> </w:t>
            </w:r>
            <w:r w:rsidR="006A570A" w:rsidRPr="006A570A">
              <w:rPr>
                <w:sz w:val="18"/>
                <w:szCs w:val="18"/>
                <w:lang w:val="en-US"/>
              </w:rPr>
              <w:t>liaison with</w:t>
            </w:r>
            <w:r w:rsidRPr="006A570A">
              <w:rPr>
                <w:sz w:val="18"/>
                <w:szCs w:val="18"/>
                <w:lang w:val="en-US"/>
              </w:rPr>
              <w:t xml:space="preserve"> institutions, regular reporting,</w:t>
            </w:r>
            <w:r w:rsidR="006A570A" w:rsidRPr="006A570A">
              <w:rPr>
                <w:sz w:val="18"/>
                <w:szCs w:val="18"/>
                <w:lang w:val="en-US"/>
              </w:rPr>
              <w:t xml:space="preserve"> </w:t>
            </w:r>
            <w:r w:rsidRPr="006A570A">
              <w:rPr>
                <w:sz w:val="18"/>
                <w:szCs w:val="18"/>
                <w:lang w:val="en-US"/>
              </w:rPr>
              <w:t>monitoring of progress and acknowledgement of efforts and</w:t>
            </w:r>
            <w:r w:rsidR="006A570A" w:rsidRPr="006A570A">
              <w:rPr>
                <w:sz w:val="18"/>
                <w:szCs w:val="18"/>
                <w:lang w:val="en-US"/>
              </w:rPr>
              <w:t xml:space="preserve"> </w:t>
            </w:r>
            <w:r w:rsidRPr="006A570A">
              <w:rPr>
                <w:sz w:val="18"/>
                <w:szCs w:val="18"/>
                <w:lang w:val="en-US"/>
              </w:rPr>
              <w:t>achievements by each institution.</w:t>
            </w:r>
            <w:r w:rsidR="006A570A" w:rsidRPr="006A570A">
              <w:rPr>
                <w:sz w:val="18"/>
                <w:szCs w:val="18"/>
                <w:lang w:val="en-US"/>
              </w:rPr>
              <w:t xml:space="preserve"> </w:t>
            </w:r>
            <w:r w:rsidRPr="006A570A">
              <w:rPr>
                <w:sz w:val="18"/>
                <w:szCs w:val="18"/>
                <w:lang w:val="en-US"/>
              </w:rPr>
              <w:t xml:space="preserve">Participating institutions </w:t>
            </w:r>
            <w:r w:rsidR="006A570A" w:rsidRPr="006A570A">
              <w:rPr>
                <w:sz w:val="18"/>
                <w:szCs w:val="18"/>
                <w:lang w:val="en-US"/>
              </w:rPr>
              <w:t>have been</w:t>
            </w:r>
            <w:r w:rsidRPr="006A570A">
              <w:rPr>
                <w:sz w:val="18"/>
                <w:szCs w:val="18"/>
                <w:lang w:val="en-US"/>
              </w:rPr>
              <w:t xml:space="preserve"> actively involved from the</w:t>
            </w:r>
            <w:r w:rsidR="006A570A">
              <w:rPr>
                <w:sz w:val="18"/>
                <w:szCs w:val="18"/>
                <w:lang w:val="en-US"/>
              </w:rPr>
              <w:t xml:space="preserve"> </w:t>
            </w:r>
            <w:r w:rsidRPr="006A570A">
              <w:rPr>
                <w:sz w:val="18"/>
                <w:szCs w:val="18"/>
                <w:lang w:val="en-US"/>
              </w:rPr>
              <w:t>beginning in design, implementation and management decisions</w:t>
            </w:r>
            <w:r w:rsidR="006A570A" w:rsidRPr="006A570A">
              <w:rPr>
                <w:sz w:val="18"/>
                <w:szCs w:val="18"/>
                <w:lang w:val="en-US"/>
              </w:rPr>
              <w:t>, and will be fully involved in project preparation. Explicit r</w:t>
            </w:r>
            <w:r w:rsidRPr="006A570A">
              <w:rPr>
                <w:sz w:val="18"/>
                <w:szCs w:val="18"/>
                <w:lang w:val="en-US"/>
              </w:rPr>
              <w:t xml:space="preserve">oles and responsibilities will be </w:t>
            </w:r>
            <w:r w:rsidR="006A570A" w:rsidRPr="006A570A">
              <w:rPr>
                <w:sz w:val="18"/>
                <w:szCs w:val="18"/>
                <w:lang w:val="en-US"/>
              </w:rPr>
              <w:t>allocated, in line with institutional mandates and institutional roles in the national GHG inventory.</w:t>
            </w:r>
          </w:p>
        </w:tc>
      </w:tr>
      <w:tr w:rsidR="00244F9B" w:rsidRPr="004402DF" w14:paraId="5E4D0AB8" w14:textId="77777777" w:rsidTr="004F2939">
        <w:trPr>
          <w:trHeight w:val="345"/>
        </w:trPr>
        <w:tc>
          <w:tcPr>
            <w:tcW w:w="1560" w:type="dxa"/>
            <w:shd w:val="clear" w:color="auto" w:fill="auto"/>
            <w:vAlign w:val="center"/>
          </w:tcPr>
          <w:p w14:paraId="1899A010" w14:textId="7179BACA" w:rsidR="00244F9B" w:rsidRPr="004402DF" w:rsidRDefault="00496C9D" w:rsidP="005A563E">
            <w:pPr>
              <w:ind w:left="34" w:right="132"/>
              <w:outlineLvl w:val="0"/>
              <w:rPr>
                <w:sz w:val="18"/>
                <w:szCs w:val="18"/>
              </w:rPr>
            </w:pPr>
            <w:r w:rsidRPr="004402DF">
              <w:rPr>
                <w:sz w:val="18"/>
                <w:szCs w:val="18"/>
              </w:rPr>
              <w:t>Climate change risks</w:t>
            </w:r>
          </w:p>
        </w:tc>
        <w:tc>
          <w:tcPr>
            <w:tcW w:w="993" w:type="dxa"/>
            <w:vAlign w:val="center"/>
          </w:tcPr>
          <w:p w14:paraId="589E365D" w14:textId="77777777" w:rsidR="00244F9B" w:rsidRPr="004402DF" w:rsidRDefault="00244F9B" w:rsidP="005A563E">
            <w:pPr>
              <w:ind w:left="6" w:right="34" w:hanging="6"/>
              <w:jc w:val="center"/>
              <w:outlineLvl w:val="0"/>
              <w:rPr>
                <w:sz w:val="18"/>
                <w:szCs w:val="18"/>
              </w:rPr>
            </w:pPr>
            <w:r w:rsidRPr="004402DF">
              <w:rPr>
                <w:sz w:val="18"/>
                <w:szCs w:val="18"/>
              </w:rPr>
              <w:t>L</w:t>
            </w:r>
          </w:p>
        </w:tc>
        <w:tc>
          <w:tcPr>
            <w:tcW w:w="7512" w:type="dxa"/>
            <w:shd w:val="clear" w:color="auto" w:fill="auto"/>
            <w:vAlign w:val="center"/>
          </w:tcPr>
          <w:p w14:paraId="0F4F4854" w14:textId="77777777" w:rsidR="00496C9D" w:rsidRPr="004402DF" w:rsidRDefault="00496C9D" w:rsidP="00496C9D">
            <w:pPr>
              <w:autoSpaceDE w:val="0"/>
              <w:autoSpaceDN w:val="0"/>
              <w:adjustRightInd w:val="0"/>
              <w:ind w:right="132"/>
              <w:rPr>
                <w:sz w:val="18"/>
                <w:szCs w:val="18"/>
              </w:rPr>
            </w:pPr>
            <w:r w:rsidRPr="004402DF">
              <w:rPr>
                <w:sz w:val="18"/>
                <w:szCs w:val="18"/>
              </w:rPr>
              <w:t xml:space="preserve">The mean surface temperature of Mauritius is increasing by approximately 0.16˚C per decade. Annual rainfall over mainland Mauritius (i.e. excluding the outer islands) has reduced by approximately 63mm per decade over the past century. Rainfall variability has increased significantly, exacerbating water stress in the western and northern districts while simultaneously producing more flash floods. The frequency of intense tropical cyclones (with wind gusts greater than 234 km/hour) is increasing. </w:t>
            </w:r>
          </w:p>
          <w:p w14:paraId="6F96767C" w14:textId="77777777" w:rsidR="00496C9D" w:rsidRPr="004402DF" w:rsidRDefault="00496C9D" w:rsidP="00496C9D">
            <w:pPr>
              <w:autoSpaceDE w:val="0"/>
              <w:autoSpaceDN w:val="0"/>
              <w:adjustRightInd w:val="0"/>
              <w:ind w:right="132"/>
              <w:rPr>
                <w:sz w:val="18"/>
                <w:szCs w:val="18"/>
              </w:rPr>
            </w:pPr>
          </w:p>
          <w:p w14:paraId="5D63F223" w14:textId="54F01A0F" w:rsidR="00244F9B" w:rsidRPr="004402DF" w:rsidRDefault="00496C9D" w:rsidP="00496C9D">
            <w:pPr>
              <w:autoSpaceDE w:val="0"/>
              <w:autoSpaceDN w:val="0"/>
              <w:adjustRightInd w:val="0"/>
              <w:ind w:right="132"/>
              <w:rPr>
                <w:sz w:val="18"/>
                <w:szCs w:val="18"/>
              </w:rPr>
            </w:pPr>
            <w:r w:rsidRPr="004402DF">
              <w:rPr>
                <w:sz w:val="18"/>
                <w:szCs w:val="18"/>
              </w:rPr>
              <w:t xml:space="preserve">The Technology Needs Assessment (TNA) notes that the indigenous component of the electricity mix (i.e. bagasse, wind and mini-hydro) is vulnerable to this increasing climate variability. There is a risk that growing electricity demand will need to be met through increased imports of fossil fuels. Given that the reduction of energy imports is a central government policy objective and forms the centrepiece of the Long-Term Energy Strategy, any threats to the potential of domestic electricity generation to reduce energy dependence </w:t>
            </w:r>
            <w:r w:rsidR="00D758BB">
              <w:rPr>
                <w:sz w:val="18"/>
                <w:szCs w:val="18"/>
              </w:rPr>
              <w:t xml:space="preserve">will </w:t>
            </w:r>
            <w:r w:rsidRPr="004402DF">
              <w:rPr>
                <w:sz w:val="18"/>
                <w:szCs w:val="18"/>
              </w:rPr>
              <w:t xml:space="preserve">be monitored </w:t>
            </w:r>
            <w:r w:rsidR="0036120C">
              <w:rPr>
                <w:sz w:val="18"/>
                <w:szCs w:val="18"/>
              </w:rPr>
              <w:t>closely</w:t>
            </w:r>
            <w:r w:rsidR="00220F94">
              <w:rPr>
                <w:sz w:val="18"/>
                <w:szCs w:val="18"/>
              </w:rPr>
              <w:t xml:space="preserve">. </w:t>
            </w:r>
            <w:r w:rsidR="00407C43">
              <w:rPr>
                <w:sz w:val="18"/>
                <w:szCs w:val="18"/>
              </w:rPr>
              <w:t xml:space="preserve">The project’s support to greater transparency in the Energy Industries sector will assist such monitoring. Notably, the </w:t>
            </w:r>
            <w:r w:rsidR="00220F94">
              <w:rPr>
                <w:sz w:val="18"/>
                <w:szCs w:val="18"/>
              </w:rPr>
              <w:t xml:space="preserve">real-time grid emission factor developed with GEF project support will provide a </w:t>
            </w:r>
            <w:r w:rsidR="00407C43">
              <w:rPr>
                <w:sz w:val="18"/>
                <w:szCs w:val="18"/>
              </w:rPr>
              <w:t>key summary indicator for quantitatively asses</w:t>
            </w:r>
            <w:r w:rsidR="00D758BB">
              <w:rPr>
                <w:sz w:val="18"/>
                <w:szCs w:val="18"/>
              </w:rPr>
              <w:t>s</w:t>
            </w:r>
            <w:r w:rsidR="00407C43">
              <w:rPr>
                <w:sz w:val="18"/>
                <w:szCs w:val="18"/>
              </w:rPr>
              <w:t xml:space="preserve">ing the </w:t>
            </w:r>
            <w:r w:rsidR="001E28BC">
              <w:rPr>
                <w:sz w:val="18"/>
                <w:szCs w:val="18"/>
              </w:rPr>
              <w:t>evolving</w:t>
            </w:r>
            <w:r w:rsidR="00407C43">
              <w:rPr>
                <w:sz w:val="18"/>
                <w:szCs w:val="18"/>
              </w:rPr>
              <w:t xml:space="preserve"> contribution of renewable energies to the electricity mix.</w:t>
            </w:r>
          </w:p>
        </w:tc>
      </w:tr>
    </w:tbl>
    <w:p w14:paraId="601A2008" w14:textId="77777777" w:rsidR="008C26C8" w:rsidRPr="001731CE" w:rsidRDefault="008C26C8" w:rsidP="00AA4E74">
      <w:pPr>
        <w:pStyle w:val="GEFFieldtoFillout"/>
        <w:shd w:val="clear" w:color="auto" w:fill="FFFFFF"/>
      </w:pPr>
    </w:p>
    <w:p w14:paraId="4A7EE5CC" w14:textId="77777777" w:rsidR="00CB0048" w:rsidRPr="001731CE" w:rsidRDefault="00C90C1A" w:rsidP="004F2939">
      <w:pPr>
        <w:shd w:val="clear" w:color="auto" w:fill="FFFFFF"/>
        <w:ind w:left="-426"/>
        <w:outlineLvl w:val="0"/>
        <w:rPr>
          <w:color w:val="000000"/>
          <w:sz w:val="22"/>
          <w:szCs w:val="22"/>
        </w:rPr>
      </w:pPr>
      <w:r w:rsidRPr="001731CE">
        <w:rPr>
          <w:i/>
          <w:color w:val="000000"/>
          <w:sz w:val="22"/>
          <w:szCs w:val="22"/>
        </w:rPr>
        <w:t>6</w:t>
      </w:r>
      <w:r w:rsidR="00870816" w:rsidRPr="001731CE">
        <w:rPr>
          <w:i/>
          <w:color w:val="000000"/>
          <w:sz w:val="22"/>
          <w:szCs w:val="22"/>
        </w:rPr>
        <w:t xml:space="preserve">. </w:t>
      </w:r>
      <w:r w:rsidR="008857BF" w:rsidRPr="001731CE">
        <w:rPr>
          <w:i/>
          <w:color w:val="000000"/>
          <w:sz w:val="22"/>
          <w:szCs w:val="22"/>
        </w:rPr>
        <w:t>Coordination.</w:t>
      </w:r>
      <w:r w:rsidR="008857BF" w:rsidRPr="001731CE">
        <w:rPr>
          <w:color w:val="000000"/>
          <w:sz w:val="22"/>
          <w:szCs w:val="22"/>
        </w:rPr>
        <w:t xml:space="preserve"> </w:t>
      </w:r>
      <w:r w:rsidR="00870816" w:rsidRPr="001731CE">
        <w:rPr>
          <w:color w:val="000000"/>
          <w:sz w:val="22"/>
          <w:szCs w:val="22"/>
        </w:rPr>
        <w:t xml:space="preserve">Outline the </w:t>
      </w:r>
      <w:r w:rsidR="008F306B" w:rsidRPr="001731CE">
        <w:rPr>
          <w:color w:val="000000"/>
          <w:sz w:val="22"/>
          <w:szCs w:val="22"/>
        </w:rPr>
        <w:t xml:space="preserve">institutional structure of the </w:t>
      </w:r>
      <w:r w:rsidR="00DA4F6F" w:rsidRPr="001731CE">
        <w:rPr>
          <w:color w:val="000000"/>
          <w:sz w:val="22"/>
          <w:szCs w:val="22"/>
        </w:rPr>
        <w:t>project</w:t>
      </w:r>
      <w:r w:rsidR="008F306B" w:rsidRPr="001731CE">
        <w:rPr>
          <w:color w:val="000000"/>
          <w:sz w:val="22"/>
          <w:szCs w:val="22"/>
        </w:rPr>
        <w:t xml:space="preserve"> including monitoring and evaluation </w:t>
      </w:r>
      <w:r w:rsidR="00870816" w:rsidRPr="001731CE">
        <w:rPr>
          <w:color w:val="000000"/>
          <w:sz w:val="22"/>
          <w:szCs w:val="22"/>
        </w:rPr>
        <w:t xml:space="preserve">coordination </w:t>
      </w:r>
      <w:r w:rsidR="008F306B" w:rsidRPr="001731CE">
        <w:rPr>
          <w:color w:val="000000"/>
          <w:sz w:val="22"/>
          <w:szCs w:val="22"/>
        </w:rPr>
        <w:t xml:space="preserve">at the </w:t>
      </w:r>
      <w:r w:rsidR="00DA4F6F" w:rsidRPr="001731CE">
        <w:rPr>
          <w:color w:val="000000"/>
          <w:sz w:val="22"/>
          <w:szCs w:val="22"/>
        </w:rPr>
        <w:t>project</w:t>
      </w:r>
      <w:r w:rsidR="008F306B" w:rsidRPr="001731CE">
        <w:rPr>
          <w:color w:val="000000"/>
          <w:sz w:val="22"/>
          <w:szCs w:val="22"/>
        </w:rPr>
        <w:t xml:space="preserve"> level. Describe possible coordination with other relevant </w:t>
      </w:r>
      <w:r w:rsidR="00870816" w:rsidRPr="001731CE">
        <w:rPr>
          <w:color w:val="000000"/>
          <w:sz w:val="22"/>
          <w:szCs w:val="22"/>
        </w:rPr>
        <w:t>GEF</w:t>
      </w:r>
      <w:r w:rsidR="00B3469D" w:rsidRPr="001731CE">
        <w:rPr>
          <w:color w:val="000000"/>
          <w:sz w:val="22"/>
          <w:szCs w:val="22"/>
        </w:rPr>
        <w:t>-</w:t>
      </w:r>
      <w:r w:rsidR="00870816" w:rsidRPr="001731CE">
        <w:rPr>
          <w:color w:val="000000"/>
          <w:sz w:val="22"/>
          <w:szCs w:val="22"/>
        </w:rPr>
        <w:t>financed</w:t>
      </w:r>
      <w:r w:rsidR="009F2052" w:rsidRPr="001731CE">
        <w:rPr>
          <w:color w:val="000000"/>
          <w:sz w:val="22"/>
          <w:szCs w:val="22"/>
        </w:rPr>
        <w:t xml:space="preserve"> </w:t>
      </w:r>
      <w:r w:rsidR="008F306B" w:rsidRPr="001731CE">
        <w:rPr>
          <w:color w:val="000000"/>
          <w:sz w:val="22"/>
          <w:szCs w:val="22"/>
        </w:rPr>
        <w:t xml:space="preserve">projects </w:t>
      </w:r>
      <w:r w:rsidR="009F2052" w:rsidRPr="001731CE">
        <w:rPr>
          <w:color w:val="000000"/>
          <w:sz w:val="22"/>
          <w:szCs w:val="22"/>
        </w:rPr>
        <w:t>and other</w:t>
      </w:r>
      <w:r w:rsidR="0078368C" w:rsidRPr="001731CE">
        <w:rPr>
          <w:color w:val="000000"/>
          <w:sz w:val="22"/>
          <w:szCs w:val="22"/>
        </w:rPr>
        <w:t xml:space="preserve"> initiatives</w:t>
      </w:r>
      <w:r w:rsidR="0092560C" w:rsidRPr="001731CE">
        <w:rPr>
          <w:color w:val="000000"/>
          <w:sz w:val="22"/>
          <w:szCs w:val="22"/>
        </w:rPr>
        <w:t>.</w:t>
      </w:r>
      <w:r w:rsidR="001259DC" w:rsidRPr="001731CE">
        <w:rPr>
          <w:color w:val="000000"/>
          <w:sz w:val="22"/>
          <w:szCs w:val="22"/>
        </w:rPr>
        <w:t xml:space="preserve"> </w:t>
      </w:r>
    </w:p>
    <w:p w14:paraId="014299A8" w14:textId="654BBFA0" w:rsidR="00870816" w:rsidRDefault="00870816" w:rsidP="004F2939">
      <w:pPr>
        <w:pStyle w:val="GEFFieldtoFillout"/>
        <w:shd w:val="clear" w:color="auto" w:fill="FFFFFF"/>
        <w:ind w:left="-426"/>
      </w:pPr>
    </w:p>
    <w:p w14:paraId="26034C78" w14:textId="0F925365" w:rsidR="008C26C8" w:rsidRDefault="002D584B" w:rsidP="004F2939">
      <w:pPr>
        <w:pStyle w:val="GEFFieldtoFillout"/>
        <w:shd w:val="clear" w:color="auto" w:fill="FFFFFF"/>
        <w:ind w:left="-426"/>
        <w:jc w:val="both"/>
      </w:pPr>
      <w:r w:rsidRPr="002D584B">
        <w:t>The project Executing Entity will be the Climate Change Division</w:t>
      </w:r>
      <w:r>
        <w:t xml:space="preserve"> (CCD)</w:t>
      </w:r>
      <w:r w:rsidRPr="002D584B">
        <w:t xml:space="preserve"> of the </w:t>
      </w:r>
      <w:r w:rsidR="006A5CD9" w:rsidRPr="00A71E1B">
        <w:t>Ministry of Social Security, National Solidarity, and Environment and Sustainable Development</w:t>
      </w:r>
      <w:r w:rsidRPr="006A5CD9">
        <w:t xml:space="preserve"> </w:t>
      </w:r>
      <w:r w:rsidRPr="002D584B">
        <w:t>(</w:t>
      </w:r>
      <w:proofErr w:type="spellStart"/>
      <w:r w:rsidR="006A5CD9" w:rsidRPr="002D584B">
        <w:t>Mo</w:t>
      </w:r>
      <w:r w:rsidR="006A5CD9">
        <w:t>SSNSESD</w:t>
      </w:r>
      <w:proofErr w:type="spellEnd"/>
      <w:r w:rsidRPr="002D584B">
        <w:t>)</w:t>
      </w:r>
      <w:r>
        <w:t xml:space="preserve"> – mirroring the coordination role that CCD plays in the context of National Communications, BURs and national GHG inventories. Project oversight will be provided by a Project Steering Committee (PSC) made up of the GEF OFP’s Office (in the Ministry of Finance), </w:t>
      </w:r>
      <w:proofErr w:type="spellStart"/>
      <w:r w:rsidR="004E3B4C">
        <w:t>MoSSNSESD</w:t>
      </w:r>
      <w:proofErr w:type="spellEnd"/>
      <w:r>
        <w:t>, UNDP, MARENA</w:t>
      </w:r>
      <w:r w:rsidR="006055AE">
        <w:t>, MCIA, Statistics Mauritius</w:t>
      </w:r>
      <w:r>
        <w:t xml:space="preserve"> and the Chairs of the relevant inventory Sub-Technical Working Groups (CEB – Energy Industries, NTA – Transport, FAREI and the Forestry Service – AFOLU), as well as </w:t>
      </w:r>
      <w:r w:rsidR="00911A17">
        <w:t>Business Mauritius and the University of Mauritius.</w:t>
      </w:r>
      <w:r w:rsidR="00CD062E">
        <w:t xml:space="preserve"> Independent evaluations will be commissioned by UNDP at the project mid-point and project-end.</w:t>
      </w:r>
    </w:p>
    <w:p w14:paraId="3B775CCF" w14:textId="6D30335C" w:rsidR="003E19EA" w:rsidRDefault="003E19EA" w:rsidP="004F2939">
      <w:pPr>
        <w:pStyle w:val="GEFFieldtoFillout"/>
        <w:shd w:val="clear" w:color="auto" w:fill="FFFFFF"/>
        <w:ind w:left="-426"/>
        <w:jc w:val="both"/>
      </w:pPr>
    </w:p>
    <w:p w14:paraId="6D2F392B" w14:textId="5010B3F5" w:rsidR="003E19EA" w:rsidRPr="002D584B" w:rsidRDefault="003E19EA" w:rsidP="004F2939">
      <w:pPr>
        <w:pStyle w:val="GEFFieldtoFillout"/>
        <w:shd w:val="clear" w:color="auto" w:fill="FFFFFF"/>
        <w:ind w:left="-426"/>
        <w:jc w:val="both"/>
      </w:pPr>
      <w:r>
        <w:t xml:space="preserve">A full mapping of relevant baseline </w:t>
      </w:r>
      <w:proofErr w:type="spellStart"/>
      <w:r>
        <w:t>initatives</w:t>
      </w:r>
      <w:proofErr w:type="spellEnd"/>
      <w:r>
        <w:t xml:space="preserve"> – both GEF-financed and others </w:t>
      </w:r>
      <w:r w:rsidR="00E963C1">
        <w:t>–</w:t>
      </w:r>
      <w:r>
        <w:t xml:space="preserve"> </w:t>
      </w:r>
      <w:r w:rsidR="00E963C1">
        <w:t xml:space="preserve">was undertaken for preparation of the PIF (see Table </w:t>
      </w:r>
      <w:r w:rsidR="009D7518">
        <w:t xml:space="preserve">2). The GEF project has been explicitly designed to build on and support these baseline </w:t>
      </w:r>
      <w:proofErr w:type="spellStart"/>
      <w:r w:rsidR="009D7518">
        <w:t>iniatives</w:t>
      </w:r>
      <w:proofErr w:type="spellEnd"/>
      <w:r w:rsidR="009D7518">
        <w:t xml:space="preserve"> – see Sections 1b and 1c for details. </w:t>
      </w:r>
      <w:r w:rsidR="001C386E">
        <w:t>Coordination during project preparation and project implementation will be emphasised; th</w:t>
      </w:r>
      <w:r w:rsidR="006055AE">
        <w:t>is</w:t>
      </w:r>
      <w:r w:rsidR="001C386E">
        <w:t xml:space="preserve"> task is made easier by the fact that CCD is also the Executing Entity of the BUR-1, NDC-2 and UNEP-GEF NAMAs project.</w:t>
      </w:r>
    </w:p>
    <w:p w14:paraId="64C30240" w14:textId="77777777" w:rsidR="008C26C8" w:rsidRPr="001731CE" w:rsidRDefault="008C26C8" w:rsidP="004F2939">
      <w:pPr>
        <w:pStyle w:val="GEFFieldtoFillout"/>
        <w:shd w:val="clear" w:color="auto" w:fill="FFFFFF"/>
        <w:ind w:left="-426"/>
      </w:pPr>
    </w:p>
    <w:p w14:paraId="7D47D8D3" w14:textId="77777777" w:rsidR="00C915BB" w:rsidRDefault="00C90C1A" w:rsidP="004F2939">
      <w:pPr>
        <w:pStyle w:val="GEFFieldtoFillout"/>
        <w:shd w:val="clear" w:color="auto" w:fill="FFFFFF"/>
        <w:ind w:left="-426"/>
      </w:pPr>
      <w:r w:rsidRPr="001731CE">
        <w:rPr>
          <w:i/>
        </w:rPr>
        <w:t>7</w:t>
      </w:r>
      <w:r w:rsidR="0078368C" w:rsidRPr="001731CE">
        <w:rPr>
          <w:i/>
        </w:rPr>
        <w:t>. Consistency with National Priorities</w:t>
      </w:r>
      <w:r w:rsidR="0078368C" w:rsidRPr="001731CE">
        <w:t>.</w:t>
      </w:r>
      <w:r w:rsidR="00F143F9" w:rsidRPr="001731CE">
        <w:t xml:space="preserve"> </w:t>
      </w:r>
      <w:r w:rsidR="00AE7736" w:rsidRPr="001731CE">
        <w:t xml:space="preserve">Is the project consistent with the </w:t>
      </w:r>
      <w:r w:rsidR="00F143F9" w:rsidRPr="001731CE">
        <w:t xml:space="preserve">National strategies and plans or reports and </w:t>
      </w:r>
      <w:proofErr w:type="spellStart"/>
      <w:r w:rsidR="00F143F9" w:rsidRPr="001731CE">
        <w:t>assessem</w:t>
      </w:r>
      <w:r w:rsidR="002700D2" w:rsidRPr="001731CE">
        <w:t>e</w:t>
      </w:r>
      <w:r w:rsidR="00F143F9" w:rsidRPr="001731CE">
        <w:t>nts</w:t>
      </w:r>
      <w:proofErr w:type="spellEnd"/>
      <w:r w:rsidR="00F143F9" w:rsidRPr="001731CE">
        <w:t xml:space="preserve"> under rele</w:t>
      </w:r>
      <w:r w:rsidR="0077323C" w:rsidRPr="001731CE">
        <w:t>vant conventions?</w:t>
      </w:r>
      <w:r w:rsidR="00AE7736" w:rsidRPr="001731CE">
        <w:t xml:space="preserve"> (yes </w:t>
      </w:r>
      <w:r w:rsidR="00F96D19">
        <w:rPr>
          <w:sz w:val="20"/>
          <w:szCs w:val="20"/>
        </w:rPr>
        <w:fldChar w:fldCharType="begin">
          <w:ffData>
            <w:name w:val="convn_comply_yes"/>
            <w:enabled/>
            <w:calcOnExit w:val="0"/>
            <w:checkBox>
              <w:sizeAuto/>
              <w:default w:val="1"/>
            </w:checkBox>
          </w:ffData>
        </w:fldChar>
      </w:r>
      <w:bookmarkStart w:id="38" w:name="convn_comply_yes"/>
      <w:r w:rsidR="00F96D19">
        <w:rPr>
          <w:sz w:val="20"/>
          <w:szCs w:val="20"/>
        </w:rPr>
        <w:instrText xml:space="preserve"> FORMCHECKBOX </w:instrText>
      </w:r>
      <w:r w:rsidR="00A755A1">
        <w:rPr>
          <w:sz w:val="20"/>
          <w:szCs w:val="20"/>
        </w:rPr>
      </w:r>
      <w:r w:rsidR="00A755A1">
        <w:rPr>
          <w:sz w:val="20"/>
          <w:szCs w:val="20"/>
        </w:rPr>
        <w:fldChar w:fldCharType="separate"/>
      </w:r>
      <w:r w:rsidR="00F96D19">
        <w:rPr>
          <w:sz w:val="20"/>
          <w:szCs w:val="20"/>
        </w:rPr>
        <w:fldChar w:fldCharType="end"/>
      </w:r>
      <w:bookmarkEnd w:id="38"/>
      <w:r w:rsidR="00AE7736" w:rsidRPr="001731CE">
        <w:rPr>
          <w:sz w:val="20"/>
          <w:szCs w:val="20"/>
        </w:rPr>
        <w:t xml:space="preserve"> /no</w:t>
      </w:r>
      <w:r w:rsidRPr="001731CE">
        <w:rPr>
          <w:sz w:val="20"/>
          <w:szCs w:val="20"/>
        </w:rPr>
        <w:t xml:space="preserve"> </w:t>
      </w:r>
      <w:r w:rsidR="000872B5" w:rsidRPr="001731CE">
        <w:rPr>
          <w:sz w:val="20"/>
          <w:szCs w:val="20"/>
        </w:rPr>
        <w:fldChar w:fldCharType="begin">
          <w:ffData>
            <w:name w:val="convn_comply_no"/>
            <w:enabled/>
            <w:calcOnExit w:val="0"/>
            <w:checkBox>
              <w:sizeAuto/>
              <w:default w:val="0"/>
            </w:checkBox>
          </w:ffData>
        </w:fldChar>
      </w:r>
      <w:bookmarkStart w:id="39" w:name="convn_comply_no"/>
      <w:r w:rsidR="000872B5" w:rsidRPr="001731CE">
        <w:rPr>
          <w:sz w:val="20"/>
          <w:szCs w:val="20"/>
        </w:rPr>
        <w:instrText xml:space="preserve"> FORMCHECKBOX </w:instrText>
      </w:r>
      <w:r w:rsidR="00A755A1">
        <w:rPr>
          <w:sz w:val="20"/>
          <w:szCs w:val="20"/>
        </w:rPr>
      </w:r>
      <w:r w:rsidR="00A755A1">
        <w:rPr>
          <w:sz w:val="20"/>
          <w:szCs w:val="20"/>
        </w:rPr>
        <w:fldChar w:fldCharType="separate"/>
      </w:r>
      <w:r w:rsidR="000872B5" w:rsidRPr="001731CE">
        <w:rPr>
          <w:sz w:val="20"/>
          <w:szCs w:val="20"/>
        </w:rPr>
        <w:fldChar w:fldCharType="end"/>
      </w:r>
      <w:bookmarkEnd w:id="39"/>
      <w:r w:rsidR="00AE7736" w:rsidRPr="001731CE">
        <w:rPr>
          <w:sz w:val="20"/>
          <w:szCs w:val="20"/>
        </w:rPr>
        <w:t xml:space="preserve"> )</w:t>
      </w:r>
      <w:r w:rsidR="00AE7736" w:rsidRPr="001731CE">
        <w:t xml:space="preserve">.  </w:t>
      </w:r>
      <w:r w:rsidR="0077323C" w:rsidRPr="001731CE">
        <w:t>I</w:t>
      </w:r>
      <w:r w:rsidR="00AE7736" w:rsidRPr="001731CE">
        <w:t>f yes, which ones and how:</w:t>
      </w:r>
      <w:bookmarkStart w:id="40" w:name="_Hlk512444906"/>
      <w:bookmarkStart w:id="41" w:name="_Hlk512851734"/>
    </w:p>
    <w:p w14:paraId="2811143E" w14:textId="77777777" w:rsidR="00C915BB" w:rsidRDefault="00C915BB" w:rsidP="004F2939">
      <w:pPr>
        <w:pStyle w:val="GEFFieldtoFillout"/>
        <w:shd w:val="clear" w:color="auto" w:fill="FFFFFF"/>
        <w:ind w:left="-426"/>
      </w:pPr>
    </w:p>
    <w:p w14:paraId="07376960" w14:textId="4D17A55C" w:rsidR="003965C8" w:rsidRPr="003965C8" w:rsidRDefault="00C24E5C" w:rsidP="004F2939">
      <w:pPr>
        <w:pStyle w:val="GEFFieldtoFillout"/>
        <w:shd w:val="clear" w:color="auto" w:fill="FFFFFF"/>
        <w:ind w:left="-426"/>
        <w:jc w:val="both"/>
      </w:pPr>
      <w:r w:rsidRPr="00C915BB">
        <w:rPr>
          <w:u w:val="single"/>
        </w:rPr>
        <w:t>National Communication (NC) under UNFCC</w:t>
      </w:r>
      <w:r w:rsidR="007C72A7">
        <w:rPr>
          <w:u w:val="single"/>
        </w:rPr>
        <w:t>C</w:t>
      </w:r>
      <w:r w:rsidR="008E5EEB">
        <w:t xml:space="preserve">: The project </w:t>
      </w:r>
      <w:r w:rsidR="00993147">
        <w:t xml:space="preserve">responds to, and is supportive, of the National Communication process. </w:t>
      </w:r>
      <w:r w:rsidR="005A563E">
        <w:t xml:space="preserve">The project design directly responds to inventory deficiencies identified in the Third </w:t>
      </w:r>
      <w:r w:rsidR="005A563E">
        <w:lastRenderedPageBreak/>
        <w:t xml:space="preserve">National Communication and the latest </w:t>
      </w:r>
      <w:r w:rsidR="003965C8">
        <w:t>National Greenhouse Gas Inventory Report. For example, the Inventory Report states (p.141): “</w:t>
      </w:r>
      <w:r w:rsidR="003965C8">
        <w:rPr>
          <w:szCs w:val="20"/>
        </w:rPr>
        <w:t xml:space="preserve">It is recommended that, during the development of future BURs and NCs, the methodology is improved further, taking into account the development of national emissions factors in key sectors for GHG emissions and use of data from emissions monitoring systems. In addition, the development  of a sustainable national inventory system, involving key </w:t>
      </w:r>
      <w:proofErr w:type="spellStart"/>
      <w:r w:rsidR="003965C8">
        <w:rPr>
          <w:szCs w:val="20"/>
        </w:rPr>
        <w:t>organisations,in</w:t>
      </w:r>
      <w:proofErr w:type="spellEnd"/>
      <w:r w:rsidR="003965C8">
        <w:rPr>
          <w:szCs w:val="20"/>
        </w:rPr>
        <w:t xml:space="preserve"> the regular update and improvement of the GHG inventory, should be established.”</w:t>
      </w:r>
    </w:p>
    <w:p w14:paraId="666BA748" w14:textId="77777777" w:rsidR="00C915BB" w:rsidRDefault="00C915BB" w:rsidP="004F2939">
      <w:pPr>
        <w:pStyle w:val="GEFFieldtoFillout"/>
        <w:shd w:val="clear" w:color="auto" w:fill="FFFFFF"/>
        <w:ind w:left="-426"/>
        <w:jc w:val="both"/>
      </w:pPr>
    </w:p>
    <w:p w14:paraId="138909FD" w14:textId="7B29626A" w:rsidR="00C915BB" w:rsidRPr="003965C8" w:rsidRDefault="00C915BB" w:rsidP="004F2939">
      <w:pPr>
        <w:pStyle w:val="GEFFieldtoFillout"/>
        <w:shd w:val="clear" w:color="auto" w:fill="FFFFFF"/>
        <w:ind w:left="-426"/>
        <w:jc w:val="both"/>
      </w:pPr>
      <w:r w:rsidRPr="008235D7">
        <w:rPr>
          <w:u w:val="single"/>
        </w:rPr>
        <w:t>Biennial Update Report (BUR) under UNFCCC</w:t>
      </w:r>
      <w:r w:rsidR="003965C8">
        <w:t xml:space="preserve">: The first BUR is </w:t>
      </w:r>
      <w:r w:rsidR="00624092">
        <w:t>currently under development. The improvements to the national GHG inventory supported by the GEF project will benefit future BURs.</w:t>
      </w:r>
    </w:p>
    <w:p w14:paraId="775E49AB" w14:textId="77777777" w:rsidR="00C915BB" w:rsidRDefault="00C915BB" w:rsidP="004F2939">
      <w:pPr>
        <w:pStyle w:val="GEFFieldtoFillout"/>
        <w:shd w:val="clear" w:color="auto" w:fill="FFFFFF"/>
        <w:ind w:left="-426"/>
        <w:jc w:val="both"/>
      </w:pPr>
    </w:p>
    <w:p w14:paraId="382C5B69" w14:textId="466D8029" w:rsidR="00C915BB" w:rsidRPr="00234C6C" w:rsidRDefault="00C915BB" w:rsidP="004F2939">
      <w:pPr>
        <w:pStyle w:val="GEFFieldtoFillout"/>
        <w:shd w:val="clear" w:color="auto" w:fill="FFFFFF"/>
        <w:ind w:left="-426"/>
        <w:jc w:val="both"/>
      </w:pPr>
      <w:r w:rsidRPr="00C915BB">
        <w:rPr>
          <w:u w:val="single"/>
        </w:rPr>
        <w:t xml:space="preserve">Nationally Determined Contribution (NDC) under </w:t>
      </w:r>
      <w:r w:rsidR="00A3343F">
        <w:rPr>
          <w:u w:val="single"/>
        </w:rPr>
        <w:t xml:space="preserve">the </w:t>
      </w:r>
      <w:r w:rsidRPr="00C915BB">
        <w:rPr>
          <w:u w:val="single"/>
        </w:rPr>
        <w:t>Paris Agreement</w:t>
      </w:r>
      <w:r w:rsidR="00234C6C">
        <w:t xml:space="preserve">: </w:t>
      </w:r>
      <w:r w:rsidR="00E046F3">
        <w:t>The improvements to GHG accounting brought about by the GEF project will enable more accurate tracking of national and sectoral GHG emissions and will, therefore, facilitate comparisons between actual emissions and emission targets, thereby enabling corrective policy actions to be adopted as and when necessary.</w:t>
      </w:r>
    </w:p>
    <w:p w14:paraId="0157811C" w14:textId="77777777" w:rsidR="00C915BB" w:rsidRDefault="00C915BB" w:rsidP="004F2939">
      <w:pPr>
        <w:pStyle w:val="GEFFieldtoFillout"/>
        <w:shd w:val="clear" w:color="auto" w:fill="FFFFFF"/>
        <w:ind w:left="-426"/>
        <w:jc w:val="both"/>
      </w:pPr>
    </w:p>
    <w:p w14:paraId="28C4AFAD" w14:textId="7D7086C7" w:rsidR="00C915BB" w:rsidRPr="00E046F3" w:rsidRDefault="00C24E5C" w:rsidP="004F2939">
      <w:pPr>
        <w:pStyle w:val="GEFFieldtoFillout"/>
        <w:shd w:val="clear" w:color="auto" w:fill="FFFFFF"/>
        <w:ind w:left="-426"/>
        <w:jc w:val="both"/>
      </w:pPr>
      <w:r w:rsidRPr="00C915BB">
        <w:rPr>
          <w:u w:val="single"/>
        </w:rPr>
        <w:t>Technology Needs Assessment (TNA) under UNFCCC</w:t>
      </w:r>
      <w:r w:rsidR="00E046F3">
        <w:t>: The TNA (</w:t>
      </w:r>
      <w:r w:rsidR="00E22622">
        <w:t>2012) identifies</w:t>
      </w:r>
      <w:r w:rsidR="00617D82">
        <w:t xml:space="preserve"> one priority mitigation sector (Energy Industries) and three priority adaptation sectors (Water, Agriculture and Coastal Zone). The GEF project </w:t>
      </w:r>
      <w:r w:rsidR="0022327A">
        <w:t>directly supports two of these (Energy Industries – locally-calibrated emission factors, and Agriculture – livestock emission factor).</w:t>
      </w:r>
    </w:p>
    <w:p w14:paraId="4F50F8C1" w14:textId="77777777" w:rsidR="00E22622" w:rsidRDefault="00E22622" w:rsidP="004F2939">
      <w:pPr>
        <w:pStyle w:val="GEFFieldtoFillout"/>
        <w:shd w:val="clear" w:color="auto" w:fill="FFFFFF"/>
        <w:ind w:left="-426"/>
        <w:jc w:val="both"/>
      </w:pPr>
    </w:p>
    <w:p w14:paraId="758050AF" w14:textId="08C380DB" w:rsidR="00C915BB" w:rsidRDefault="00C24E5C" w:rsidP="004F2939">
      <w:pPr>
        <w:pStyle w:val="GEFFieldtoFillout"/>
        <w:shd w:val="clear" w:color="auto" w:fill="FFFFFF"/>
        <w:ind w:left="-426"/>
        <w:jc w:val="both"/>
      </w:pPr>
      <w:r w:rsidRPr="00C915BB">
        <w:rPr>
          <w:u w:val="single"/>
        </w:rPr>
        <w:t>National Capacity Self-Assessment (NCSA) unde</w:t>
      </w:r>
      <w:r w:rsidR="008F79EB" w:rsidRPr="00C915BB">
        <w:rPr>
          <w:u w:val="single"/>
        </w:rPr>
        <w:t>r UNCBD, UNFCCC, UNCCD</w:t>
      </w:r>
      <w:r w:rsidR="0022327A">
        <w:t>: The NCSA (</w:t>
      </w:r>
      <w:r w:rsidR="00A3343F">
        <w:t xml:space="preserve">2005) </w:t>
      </w:r>
      <w:r w:rsidR="00CA7E66">
        <w:t>identified priority issues that are addressed by the GEF project. These include:</w:t>
      </w:r>
    </w:p>
    <w:p w14:paraId="013B893C" w14:textId="4574225E" w:rsidR="00CA7E66" w:rsidRDefault="00CA7E66" w:rsidP="004F2939">
      <w:pPr>
        <w:pStyle w:val="GEFFieldtoFillout"/>
        <w:numPr>
          <w:ilvl w:val="0"/>
          <w:numId w:val="7"/>
        </w:numPr>
        <w:shd w:val="clear" w:color="auto" w:fill="FFFFFF"/>
        <w:jc w:val="both"/>
      </w:pPr>
      <w:r>
        <w:t>Biodiversity: incomplete forest inventory</w:t>
      </w:r>
      <w:r w:rsidR="001407DC">
        <w:t>.</w:t>
      </w:r>
    </w:p>
    <w:p w14:paraId="74513691" w14:textId="13574E09" w:rsidR="004A21B6" w:rsidRPr="001407DC" w:rsidRDefault="004A21B6" w:rsidP="004F2939">
      <w:pPr>
        <w:pStyle w:val="GEFFieldtoFillout"/>
        <w:numPr>
          <w:ilvl w:val="0"/>
          <w:numId w:val="7"/>
        </w:numPr>
        <w:shd w:val="clear" w:color="auto" w:fill="FFFFFF"/>
        <w:jc w:val="both"/>
      </w:pPr>
      <w:r>
        <w:t>Climate change: use of renewable energy and energy efficiency; and</w:t>
      </w:r>
      <w:r w:rsidR="00BF69A7">
        <w:t xml:space="preserve"> the need for improved</w:t>
      </w:r>
      <w:r>
        <w:t xml:space="preserve"> data management </w:t>
      </w:r>
      <w:r w:rsidRPr="001407DC">
        <w:t>in the transport sector</w:t>
      </w:r>
      <w:r w:rsidR="001407DC">
        <w:t>.</w:t>
      </w:r>
    </w:p>
    <w:p w14:paraId="7C76EAB5" w14:textId="270335E6" w:rsidR="00C915BB" w:rsidRPr="001407DC" w:rsidRDefault="004A21B6" w:rsidP="004F2939">
      <w:pPr>
        <w:pStyle w:val="GEFFieldtoFillout"/>
        <w:numPr>
          <w:ilvl w:val="0"/>
          <w:numId w:val="7"/>
        </w:numPr>
        <w:shd w:val="clear" w:color="auto" w:fill="FFFFFF"/>
        <w:jc w:val="both"/>
      </w:pPr>
      <w:r w:rsidRPr="001407DC">
        <w:t xml:space="preserve">Land degradation: </w:t>
      </w:r>
      <w:r w:rsidR="001407DC" w:rsidRPr="001407DC">
        <w:t>clearing/conversion of forest on privately-held land</w:t>
      </w:r>
      <w:r w:rsidR="00094A4D" w:rsidRPr="001407DC">
        <w:rPr>
          <w:lang w:val="en-US"/>
        </w:rPr>
        <w:t xml:space="preserve">; </w:t>
      </w:r>
      <w:r w:rsidR="001407DC">
        <w:rPr>
          <w:lang w:val="en-US"/>
        </w:rPr>
        <w:t xml:space="preserve">and an </w:t>
      </w:r>
      <w:r w:rsidR="001407DC" w:rsidRPr="001407DC">
        <w:rPr>
          <w:lang w:val="en-US"/>
        </w:rPr>
        <w:t>unsustainable livestock production system.</w:t>
      </w:r>
    </w:p>
    <w:bookmarkEnd w:id="40"/>
    <w:bookmarkEnd w:id="41"/>
    <w:p w14:paraId="04C39263" w14:textId="77777777" w:rsidR="0092560C" w:rsidRPr="001731CE" w:rsidRDefault="0092560C" w:rsidP="00AA4E74">
      <w:pPr>
        <w:pStyle w:val="GEFFieldtoFillout"/>
        <w:shd w:val="clear" w:color="auto" w:fill="FFFFFF"/>
      </w:pPr>
    </w:p>
    <w:p w14:paraId="5DD39BE8" w14:textId="6A16236D" w:rsidR="00304E87" w:rsidRPr="00A0496A" w:rsidRDefault="00C90C1A" w:rsidP="004F2939">
      <w:pPr>
        <w:shd w:val="clear" w:color="auto" w:fill="FFFFFF"/>
        <w:ind w:left="-426"/>
        <w:rPr>
          <w:sz w:val="22"/>
          <w:szCs w:val="22"/>
        </w:rPr>
      </w:pPr>
      <w:r w:rsidRPr="00A0496A">
        <w:rPr>
          <w:i/>
          <w:sz w:val="22"/>
          <w:szCs w:val="22"/>
        </w:rPr>
        <w:t>8</w:t>
      </w:r>
      <w:r w:rsidR="009E054B" w:rsidRPr="00A0496A">
        <w:rPr>
          <w:i/>
          <w:sz w:val="22"/>
          <w:szCs w:val="22"/>
        </w:rPr>
        <w:t>.</w:t>
      </w:r>
      <w:r w:rsidR="009E054B" w:rsidRPr="00A0496A">
        <w:rPr>
          <w:sz w:val="22"/>
          <w:szCs w:val="22"/>
        </w:rPr>
        <w:t xml:space="preserve"> </w:t>
      </w:r>
      <w:r w:rsidR="009E054B" w:rsidRPr="00A0496A">
        <w:rPr>
          <w:i/>
          <w:sz w:val="22"/>
          <w:szCs w:val="22"/>
        </w:rPr>
        <w:t xml:space="preserve">Knowledge </w:t>
      </w:r>
      <w:r w:rsidR="00CA75E2" w:rsidRPr="00A0496A">
        <w:rPr>
          <w:i/>
          <w:sz w:val="22"/>
          <w:szCs w:val="22"/>
        </w:rPr>
        <w:t>Management</w:t>
      </w:r>
      <w:r w:rsidR="009E054B" w:rsidRPr="00A0496A">
        <w:rPr>
          <w:i/>
          <w:sz w:val="22"/>
          <w:szCs w:val="22"/>
        </w:rPr>
        <w:t>.</w:t>
      </w:r>
      <w:r w:rsidR="009E054B" w:rsidRPr="00A0496A">
        <w:rPr>
          <w:sz w:val="22"/>
          <w:szCs w:val="22"/>
        </w:rPr>
        <w:t xml:space="preserve"> </w:t>
      </w:r>
      <w:r w:rsidR="00DB797E" w:rsidRPr="00A0496A">
        <w:rPr>
          <w:sz w:val="22"/>
          <w:szCs w:val="22"/>
        </w:rPr>
        <w:t xml:space="preserve"> </w:t>
      </w:r>
      <w:r w:rsidR="00FF3C30" w:rsidRPr="00A0496A">
        <w:rPr>
          <w:bCs/>
          <w:iCs/>
          <w:sz w:val="22"/>
          <w:szCs w:val="22"/>
        </w:rPr>
        <w:t xml:space="preserve">Outline the </w:t>
      </w:r>
      <w:r w:rsidR="00CA75E2" w:rsidRPr="00A0496A">
        <w:rPr>
          <w:bCs/>
          <w:iCs/>
          <w:sz w:val="22"/>
          <w:szCs w:val="22"/>
        </w:rPr>
        <w:t>“</w:t>
      </w:r>
      <w:bookmarkStart w:id="42" w:name="KM"/>
      <w:r w:rsidR="00CA75E2" w:rsidRPr="00A0496A">
        <w:rPr>
          <w:sz w:val="22"/>
          <w:szCs w:val="22"/>
        </w:rPr>
        <w:t>K</w:t>
      </w:r>
      <w:r w:rsidR="00FF3C30" w:rsidRPr="00A0496A">
        <w:rPr>
          <w:sz w:val="22"/>
          <w:szCs w:val="22"/>
        </w:rPr>
        <w:t xml:space="preserve">nowledge </w:t>
      </w:r>
      <w:r w:rsidR="00CA75E2" w:rsidRPr="00A0496A">
        <w:rPr>
          <w:sz w:val="22"/>
          <w:szCs w:val="22"/>
        </w:rPr>
        <w:t>Management A</w:t>
      </w:r>
      <w:r w:rsidR="00FF3C30" w:rsidRPr="00A0496A">
        <w:rPr>
          <w:sz w:val="22"/>
          <w:szCs w:val="22"/>
        </w:rPr>
        <w:t>pproach</w:t>
      </w:r>
      <w:bookmarkEnd w:id="42"/>
      <w:r w:rsidR="00CA75E2" w:rsidRPr="00A0496A">
        <w:rPr>
          <w:bCs/>
          <w:iCs/>
          <w:sz w:val="22"/>
          <w:szCs w:val="22"/>
        </w:rPr>
        <w:t>”</w:t>
      </w:r>
      <w:r w:rsidR="00FF3C30" w:rsidRPr="00A0496A">
        <w:rPr>
          <w:bCs/>
          <w:iCs/>
          <w:sz w:val="22"/>
          <w:szCs w:val="22"/>
        </w:rPr>
        <w:t xml:space="preserve"> for the project and how it will contribute to the project’s overall impact, including plans to learn from relevant projects</w:t>
      </w:r>
      <w:r w:rsidR="007A2E00" w:rsidRPr="00A0496A">
        <w:rPr>
          <w:bCs/>
          <w:iCs/>
          <w:sz w:val="22"/>
          <w:szCs w:val="22"/>
        </w:rPr>
        <w:t>,</w:t>
      </w:r>
      <w:r w:rsidR="00FF3C30" w:rsidRPr="00A0496A">
        <w:rPr>
          <w:bCs/>
          <w:iCs/>
          <w:sz w:val="22"/>
          <w:szCs w:val="22"/>
        </w:rPr>
        <w:t xml:space="preserve"> initiatives</w:t>
      </w:r>
      <w:r w:rsidR="007A2E00" w:rsidRPr="00A0496A">
        <w:rPr>
          <w:bCs/>
          <w:iCs/>
          <w:sz w:val="22"/>
          <w:szCs w:val="22"/>
        </w:rPr>
        <w:t xml:space="preserve"> and </w:t>
      </w:r>
      <w:r w:rsidR="00305BB6">
        <w:rPr>
          <w:bCs/>
          <w:iCs/>
          <w:sz w:val="22"/>
          <w:szCs w:val="22"/>
        </w:rPr>
        <w:t>e</w:t>
      </w:r>
      <w:r w:rsidR="007A2E00" w:rsidRPr="00A0496A">
        <w:rPr>
          <w:bCs/>
          <w:iCs/>
          <w:sz w:val="22"/>
          <w:szCs w:val="22"/>
        </w:rPr>
        <w:t>valuations</w:t>
      </w:r>
      <w:r w:rsidR="0027780F" w:rsidRPr="00A0496A">
        <w:rPr>
          <w:bCs/>
          <w:iCs/>
          <w:sz w:val="22"/>
          <w:szCs w:val="22"/>
        </w:rPr>
        <w:t>.</w:t>
      </w:r>
      <w:r w:rsidR="00304E87" w:rsidRPr="00A0496A">
        <w:rPr>
          <w:bCs/>
          <w:iCs/>
          <w:sz w:val="22"/>
          <w:szCs w:val="22"/>
        </w:rPr>
        <w:t xml:space="preserve"> </w:t>
      </w:r>
    </w:p>
    <w:p w14:paraId="1A10F91D" w14:textId="77777777" w:rsidR="00EB3F47" w:rsidRPr="001731CE" w:rsidRDefault="00304E87" w:rsidP="004F2939">
      <w:pPr>
        <w:pStyle w:val="Footer"/>
        <w:shd w:val="clear" w:color="auto" w:fill="FFFFFF"/>
        <w:ind w:left="-426"/>
      </w:pPr>
      <w:r w:rsidRPr="001731CE">
        <w:rPr>
          <w:bCs/>
          <w:iCs/>
          <w:lang w:val="en-US"/>
        </w:rPr>
        <w:t xml:space="preserve"> </w:t>
      </w:r>
      <w:r w:rsidR="00FF3C30" w:rsidRPr="001731CE">
        <w:rPr>
          <w:bCs/>
          <w:iCs/>
        </w:rPr>
        <w:t xml:space="preserve"> </w:t>
      </w:r>
    </w:p>
    <w:p w14:paraId="4C9B84E9" w14:textId="60EC8750" w:rsidR="00344730" w:rsidRPr="003A48E4" w:rsidRDefault="003A48E4" w:rsidP="004F2939">
      <w:pPr>
        <w:pStyle w:val="Footer"/>
        <w:shd w:val="clear" w:color="auto" w:fill="FFFFFF"/>
        <w:ind w:left="-426"/>
        <w:jc w:val="both"/>
        <w:rPr>
          <w:sz w:val="22"/>
          <w:szCs w:val="22"/>
          <w:lang w:val="en-US"/>
        </w:rPr>
      </w:pPr>
      <w:r w:rsidRPr="003A48E4">
        <w:rPr>
          <w:sz w:val="22"/>
          <w:szCs w:val="22"/>
          <w:lang w:val="en-US"/>
        </w:rPr>
        <w:t>The</w:t>
      </w:r>
      <w:r>
        <w:rPr>
          <w:sz w:val="22"/>
          <w:szCs w:val="22"/>
          <w:lang w:val="en-US"/>
        </w:rPr>
        <w:t xml:space="preserve"> project is intrinsically ‘knowledge-oriented’. Its main objective is to improve the quality of the national GHG inventory</w:t>
      </w:r>
      <w:r w:rsidRPr="003A48E4">
        <w:rPr>
          <w:sz w:val="22"/>
          <w:szCs w:val="22"/>
          <w:lang w:val="en-US"/>
        </w:rPr>
        <w:t xml:space="preserve"> </w:t>
      </w:r>
      <w:r>
        <w:rPr>
          <w:sz w:val="22"/>
          <w:szCs w:val="22"/>
          <w:lang w:val="en-US"/>
        </w:rPr>
        <w:t xml:space="preserve">and the data collection/storage/dissemination processes associated with the inventory, thereby improving reporting and transparency and providing a firmer basis for evidence-based policy-making. </w:t>
      </w:r>
      <w:r w:rsidR="00344730">
        <w:rPr>
          <w:sz w:val="22"/>
          <w:szCs w:val="22"/>
          <w:lang w:val="en-US"/>
        </w:rPr>
        <w:t xml:space="preserve">The project design responds directly to the learning from past National Communications and national GHG inventories. The </w:t>
      </w:r>
      <w:r w:rsidR="00C60419">
        <w:rPr>
          <w:sz w:val="22"/>
          <w:szCs w:val="22"/>
          <w:lang w:val="en-US"/>
        </w:rPr>
        <w:t xml:space="preserve">project will </w:t>
      </w:r>
      <w:proofErr w:type="spellStart"/>
      <w:r w:rsidR="00C60419">
        <w:rPr>
          <w:sz w:val="22"/>
          <w:szCs w:val="22"/>
          <w:lang w:val="en-US"/>
        </w:rPr>
        <w:t>systematise</w:t>
      </w:r>
      <w:proofErr w:type="spellEnd"/>
      <w:r w:rsidR="00C60419">
        <w:rPr>
          <w:sz w:val="22"/>
          <w:szCs w:val="22"/>
          <w:lang w:val="en-US"/>
        </w:rPr>
        <w:t xml:space="preserve"> knowledge gathering and subsequent storage and dissemination – notably through an improved online Climate Change Information Centre (CCIC) serving as both an inward-facing data repository and an outward-facing transparency portal.</w:t>
      </w:r>
    </w:p>
    <w:p w14:paraId="325A25FE" w14:textId="77777777" w:rsidR="00C6064D" w:rsidRDefault="00C6064D" w:rsidP="00AA4E74">
      <w:pPr>
        <w:pStyle w:val="Footer"/>
        <w:shd w:val="clear" w:color="auto" w:fill="FFFFFF"/>
        <w:ind w:left="-720"/>
        <w:rPr>
          <w:lang w:val="en-US"/>
        </w:rPr>
      </w:pPr>
    </w:p>
    <w:p w14:paraId="49B5A181" w14:textId="77777777" w:rsidR="00A0496A" w:rsidRPr="001731CE" w:rsidRDefault="00A0496A" w:rsidP="00AA4E74">
      <w:pPr>
        <w:pStyle w:val="Footer"/>
        <w:shd w:val="clear" w:color="auto" w:fill="FFFFFF"/>
        <w:ind w:left="-720"/>
        <w:rPr>
          <w:lang w:val="en-US"/>
        </w:rPr>
      </w:pPr>
    </w:p>
    <w:p w14:paraId="3D51CBB8" w14:textId="77777777" w:rsidR="00B2008B" w:rsidRPr="001731CE" w:rsidRDefault="0032587F" w:rsidP="004F2939">
      <w:pPr>
        <w:pStyle w:val="Footer"/>
        <w:shd w:val="clear" w:color="auto" w:fill="FFFFFF"/>
        <w:ind w:left="-426"/>
        <w:rPr>
          <w:b/>
          <w:caps/>
          <w:color w:val="000000"/>
          <w:sz w:val="22"/>
          <w:szCs w:val="22"/>
          <w:u w:val="single"/>
        </w:rPr>
      </w:pPr>
      <w:r w:rsidRPr="001731CE">
        <w:rPr>
          <w:b/>
          <w:caps/>
          <w:color w:val="000000"/>
          <w:sz w:val="22"/>
          <w:szCs w:val="22"/>
          <w:u w:val="single"/>
        </w:rPr>
        <w:t>part iii:  approval/endorsement by gef operational focal point(s)</w:t>
      </w:r>
    </w:p>
    <w:p w14:paraId="060135A7" w14:textId="77777777" w:rsidR="00B24012" w:rsidRPr="001731CE" w:rsidRDefault="0032587F" w:rsidP="004F2939">
      <w:pPr>
        <w:pStyle w:val="Footer"/>
        <w:shd w:val="clear" w:color="auto" w:fill="FFFFFF"/>
        <w:ind w:left="-426"/>
        <w:rPr>
          <w:b/>
          <w:caps/>
          <w:color w:val="000000"/>
          <w:sz w:val="22"/>
          <w:szCs w:val="22"/>
          <w:u w:val="single"/>
        </w:rPr>
      </w:pPr>
      <w:r w:rsidRPr="001731CE">
        <w:rPr>
          <w:b/>
          <w:caps/>
          <w:color w:val="000000"/>
          <w:sz w:val="22"/>
          <w:szCs w:val="22"/>
          <w:u w:val="single"/>
        </w:rPr>
        <w:t xml:space="preserve"> </w:t>
      </w:r>
    </w:p>
    <w:p w14:paraId="7773F90B" w14:textId="240B2230" w:rsidR="00511CD5" w:rsidRDefault="002B2C06" w:rsidP="004F2939">
      <w:pPr>
        <w:pStyle w:val="GEFTableHeading"/>
        <w:shd w:val="clear" w:color="auto" w:fill="FFFFFF"/>
        <w:ind w:left="-426"/>
        <w:rPr>
          <w:rFonts w:ascii="Times New Roman" w:hAnsi="Times New Roman"/>
          <w:b w:val="0"/>
          <w:smallCaps w:val="0"/>
        </w:rPr>
      </w:pPr>
      <w:r w:rsidRPr="001731CE">
        <w:rPr>
          <w:rFonts w:ascii="Times New Roman" w:hAnsi="Times New Roman"/>
        </w:rPr>
        <w:t xml:space="preserve">A. </w:t>
      </w:r>
      <w:bookmarkStart w:id="43" w:name="_Hlk513623958"/>
      <w:r w:rsidR="00AE49B5" w:rsidRPr="001731CE">
        <w:rPr>
          <w:rFonts w:ascii="Times New Roman" w:hAnsi="Times New Roman"/>
        </w:rPr>
        <w:t xml:space="preserve">Record of Endorsement </w:t>
      </w:r>
      <w:bookmarkEnd w:id="43"/>
      <w:r w:rsidR="00AE49B5" w:rsidRPr="001731CE">
        <w:rPr>
          <w:rFonts w:ascii="Times New Roman" w:hAnsi="Times New Roman"/>
        </w:rPr>
        <w:t>o</w:t>
      </w:r>
      <w:r w:rsidR="0078368C" w:rsidRPr="001731CE">
        <w:rPr>
          <w:rFonts w:ascii="Times New Roman" w:hAnsi="Times New Roman"/>
        </w:rPr>
        <w:t>f GEF Operational Focal Point (s</w:t>
      </w:r>
      <w:r w:rsidR="00AE49B5" w:rsidRPr="001731CE">
        <w:rPr>
          <w:rFonts w:ascii="Times New Roman" w:hAnsi="Times New Roman"/>
        </w:rPr>
        <w:t>) on Behalf of the Government(</w:t>
      </w:r>
      <w:r w:rsidR="0078368C" w:rsidRPr="001731CE">
        <w:rPr>
          <w:rFonts w:ascii="Times New Roman" w:hAnsi="Times New Roman"/>
        </w:rPr>
        <w:t>s</w:t>
      </w:r>
      <w:r w:rsidR="00AE49B5" w:rsidRPr="001731CE">
        <w:rPr>
          <w:rFonts w:ascii="Times New Roman" w:hAnsi="Times New Roman"/>
        </w:rPr>
        <w:t xml:space="preserve">): </w:t>
      </w:r>
      <w:r w:rsidR="00D54E10" w:rsidRPr="001731CE">
        <w:rPr>
          <w:rFonts w:ascii="Times New Roman" w:hAnsi="Times New Roman"/>
        </w:rPr>
        <w:t xml:space="preserve"> </w:t>
      </w:r>
      <w:bookmarkStart w:id="44" w:name="_Hlk513624028"/>
      <w:r w:rsidR="00AE49B5" w:rsidRPr="001731CE">
        <w:rPr>
          <w:rFonts w:ascii="Times New Roman" w:hAnsi="Times New Roman"/>
          <w:b w:val="0"/>
          <w:smallCaps w:val="0"/>
        </w:rPr>
        <w:t xml:space="preserve">(Please attach the </w:t>
      </w:r>
      <w:r w:rsidR="004F589E" w:rsidRPr="001731CE">
        <w:rPr>
          <w:rFonts w:ascii="Times New Roman" w:hAnsi="Times New Roman"/>
          <w:b w:val="0"/>
          <w:smallCaps w:val="0"/>
        </w:rPr>
        <w:t>Operational Focal Point endorsement letter(s)</w:t>
      </w:r>
      <w:r w:rsidR="009C3E9B" w:rsidRPr="001731CE">
        <w:rPr>
          <w:rFonts w:ascii="Times New Roman" w:hAnsi="Times New Roman"/>
          <w:b w:val="0"/>
          <w:smallCaps w:val="0"/>
        </w:rPr>
        <w:t xml:space="preserve"> </w:t>
      </w:r>
      <w:r w:rsidR="00AE49B5" w:rsidRPr="001731CE">
        <w:rPr>
          <w:rFonts w:ascii="Times New Roman" w:hAnsi="Times New Roman"/>
          <w:b w:val="0"/>
          <w:smallCaps w:val="0"/>
        </w:rPr>
        <w:t>with this template</w:t>
      </w:r>
      <w:r w:rsidR="008D3AF6" w:rsidRPr="001731CE">
        <w:rPr>
          <w:rFonts w:ascii="Times New Roman" w:hAnsi="Times New Roman"/>
          <w:b w:val="0"/>
          <w:smallCaps w:val="0"/>
        </w:rPr>
        <w:t xml:space="preserve">. For SGP, use this </w:t>
      </w:r>
      <w:r w:rsidR="004F589E" w:rsidRPr="001731CE">
        <w:rPr>
          <w:rFonts w:ascii="Times New Roman" w:hAnsi="Times New Roman"/>
          <w:b w:val="0"/>
          <w:smallCaps w:val="0"/>
        </w:rPr>
        <w:t>SGP OFP endorsement letter</w:t>
      </w:r>
      <w:r w:rsidR="00AE49B5" w:rsidRPr="001731CE">
        <w:rPr>
          <w:rFonts w:ascii="Times New Roman" w:hAnsi="Times New Roman"/>
          <w:b w:val="0"/>
          <w:smallCaps w:val="0"/>
        </w:rPr>
        <w:t>).</w:t>
      </w:r>
    </w:p>
    <w:p w14:paraId="20E0C17A" w14:textId="77777777" w:rsidR="00DD16DC" w:rsidRPr="00DD16DC" w:rsidRDefault="00DD16DC" w:rsidP="00DD16DC"/>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gridCol w:w="2362"/>
        <w:gridCol w:w="1877"/>
        <w:gridCol w:w="2524"/>
      </w:tblGrid>
      <w:tr w:rsidR="00511CD5" w:rsidRPr="001731CE" w14:paraId="53B9F148" w14:textId="77777777" w:rsidTr="004F2939">
        <w:tc>
          <w:tcPr>
            <w:tcW w:w="3244" w:type="dxa"/>
          </w:tcPr>
          <w:bookmarkEnd w:id="44"/>
          <w:p w14:paraId="37260FBC" w14:textId="77777777" w:rsidR="00511CD5" w:rsidRPr="001731CE" w:rsidRDefault="00511CD5" w:rsidP="00AA4E74">
            <w:pPr>
              <w:shd w:val="clear" w:color="auto" w:fill="FFFFFF"/>
              <w:jc w:val="both"/>
              <w:rPr>
                <w:b/>
                <w:bCs/>
                <w:smallCaps/>
                <w:color w:val="000000"/>
                <w:sz w:val="22"/>
                <w:szCs w:val="22"/>
              </w:rPr>
            </w:pPr>
            <w:r w:rsidRPr="001731CE">
              <w:rPr>
                <w:b/>
                <w:bCs/>
                <w:smallCaps/>
                <w:color w:val="000000"/>
                <w:sz w:val="22"/>
                <w:szCs w:val="22"/>
              </w:rPr>
              <w:t>Name</w:t>
            </w:r>
          </w:p>
        </w:tc>
        <w:tc>
          <w:tcPr>
            <w:tcW w:w="2362" w:type="dxa"/>
          </w:tcPr>
          <w:p w14:paraId="4A367923" w14:textId="77777777" w:rsidR="00511CD5" w:rsidRPr="001731CE" w:rsidRDefault="00511CD5" w:rsidP="00AA4E74">
            <w:pPr>
              <w:shd w:val="clear" w:color="auto" w:fill="FFFFFF"/>
              <w:jc w:val="both"/>
              <w:rPr>
                <w:b/>
                <w:bCs/>
                <w:smallCaps/>
                <w:color w:val="000000"/>
                <w:sz w:val="22"/>
                <w:szCs w:val="22"/>
              </w:rPr>
            </w:pPr>
            <w:r w:rsidRPr="001731CE">
              <w:rPr>
                <w:b/>
                <w:bCs/>
                <w:smallCaps/>
                <w:color w:val="000000"/>
                <w:sz w:val="22"/>
                <w:szCs w:val="22"/>
              </w:rPr>
              <w:t>Position</w:t>
            </w:r>
          </w:p>
        </w:tc>
        <w:tc>
          <w:tcPr>
            <w:tcW w:w="1877" w:type="dxa"/>
          </w:tcPr>
          <w:p w14:paraId="26D20563" w14:textId="77777777" w:rsidR="00511CD5" w:rsidRPr="001731CE" w:rsidRDefault="00511CD5" w:rsidP="00AA4E74">
            <w:pPr>
              <w:shd w:val="clear" w:color="auto" w:fill="FFFFFF"/>
              <w:jc w:val="both"/>
              <w:rPr>
                <w:b/>
                <w:bCs/>
                <w:smallCaps/>
                <w:color w:val="000000"/>
                <w:sz w:val="22"/>
                <w:szCs w:val="22"/>
              </w:rPr>
            </w:pPr>
            <w:r w:rsidRPr="001731CE">
              <w:rPr>
                <w:b/>
                <w:bCs/>
                <w:smallCaps/>
                <w:color w:val="000000"/>
                <w:sz w:val="22"/>
                <w:szCs w:val="22"/>
              </w:rPr>
              <w:t>Ministry</w:t>
            </w:r>
          </w:p>
        </w:tc>
        <w:tc>
          <w:tcPr>
            <w:tcW w:w="2524" w:type="dxa"/>
          </w:tcPr>
          <w:p w14:paraId="6225805A" w14:textId="77777777" w:rsidR="00511CD5" w:rsidRPr="001731CE" w:rsidRDefault="00511CD5" w:rsidP="00AA4E74">
            <w:pPr>
              <w:shd w:val="clear" w:color="auto" w:fill="FFFFFF"/>
              <w:jc w:val="center"/>
              <w:rPr>
                <w:b/>
                <w:color w:val="000000"/>
                <w:sz w:val="22"/>
                <w:szCs w:val="22"/>
              </w:rPr>
            </w:pPr>
            <w:r w:rsidRPr="001731CE">
              <w:rPr>
                <w:b/>
                <w:bCs/>
                <w:smallCaps/>
                <w:color w:val="000000"/>
                <w:sz w:val="22"/>
                <w:szCs w:val="22"/>
              </w:rPr>
              <w:t>Date</w:t>
            </w:r>
            <w:r w:rsidRPr="001731CE">
              <w:rPr>
                <w:b/>
                <w:color w:val="000000"/>
                <w:sz w:val="22"/>
                <w:szCs w:val="22"/>
              </w:rPr>
              <w:t xml:space="preserve"> </w:t>
            </w:r>
            <w:r w:rsidRPr="001731CE">
              <w:rPr>
                <w:i/>
                <w:color w:val="000000"/>
                <w:sz w:val="22"/>
                <w:szCs w:val="22"/>
              </w:rPr>
              <w:t>(MM/dd/</w:t>
            </w:r>
            <w:proofErr w:type="spellStart"/>
            <w:r w:rsidRPr="001731CE">
              <w:rPr>
                <w:i/>
                <w:color w:val="000000"/>
                <w:sz w:val="22"/>
                <w:szCs w:val="22"/>
              </w:rPr>
              <w:t>yyyy</w:t>
            </w:r>
            <w:proofErr w:type="spellEnd"/>
            <w:r w:rsidRPr="001731CE">
              <w:rPr>
                <w:i/>
                <w:color w:val="000000"/>
                <w:sz w:val="22"/>
                <w:szCs w:val="22"/>
              </w:rPr>
              <w:t>)</w:t>
            </w:r>
          </w:p>
        </w:tc>
      </w:tr>
      <w:tr w:rsidR="00511CD5" w:rsidRPr="001731CE" w14:paraId="6AAD7B6F" w14:textId="77777777" w:rsidTr="004F2939">
        <w:tc>
          <w:tcPr>
            <w:tcW w:w="3244" w:type="dxa"/>
          </w:tcPr>
          <w:p w14:paraId="1F6A4946" w14:textId="173225D5" w:rsidR="00511CD5" w:rsidRPr="001731CE" w:rsidRDefault="00DD16DC" w:rsidP="00AA4E74">
            <w:pPr>
              <w:shd w:val="clear" w:color="auto" w:fill="FFFFFF"/>
              <w:rPr>
                <w:color w:val="000000"/>
                <w:sz w:val="22"/>
                <w:szCs w:val="22"/>
              </w:rPr>
            </w:pPr>
            <w:r>
              <w:rPr>
                <w:color w:val="000000"/>
                <w:sz w:val="22"/>
                <w:szCs w:val="22"/>
              </w:rPr>
              <w:t xml:space="preserve">D.D </w:t>
            </w:r>
            <w:proofErr w:type="spellStart"/>
            <w:r>
              <w:rPr>
                <w:color w:val="000000"/>
                <w:sz w:val="22"/>
                <w:szCs w:val="22"/>
              </w:rPr>
              <w:t>Manraj</w:t>
            </w:r>
            <w:proofErr w:type="spellEnd"/>
            <w:r>
              <w:rPr>
                <w:color w:val="000000"/>
                <w:sz w:val="22"/>
                <w:szCs w:val="22"/>
              </w:rPr>
              <w:t>, G.O.SK</w:t>
            </w:r>
            <w:r w:rsidRPr="001731CE">
              <w:rPr>
                <w:color w:val="000000"/>
                <w:sz w:val="22"/>
                <w:szCs w:val="22"/>
              </w:rPr>
              <w:t xml:space="preserve"> </w:t>
            </w:r>
            <w:r w:rsidR="00370629" w:rsidRPr="001731CE">
              <w:rPr>
                <w:color w:val="000000"/>
                <w:sz w:val="22"/>
                <w:szCs w:val="22"/>
              </w:rPr>
              <w:fldChar w:fldCharType="begin">
                <w:ffData>
                  <w:name w:val="name_01"/>
                  <w:enabled/>
                  <w:calcOnExit w:val="0"/>
                  <w:textInput/>
                </w:ffData>
              </w:fldChar>
            </w:r>
            <w:r w:rsidR="00370629" w:rsidRPr="001731CE">
              <w:rPr>
                <w:color w:val="000000"/>
                <w:sz w:val="22"/>
                <w:szCs w:val="22"/>
              </w:rPr>
              <w:instrText xml:space="preserve"> </w:instrText>
            </w:r>
            <w:bookmarkStart w:id="45" w:name="name_01"/>
            <w:r w:rsidR="00370629" w:rsidRPr="001731CE">
              <w:rPr>
                <w:color w:val="000000"/>
                <w:sz w:val="22"/>
                <w:szCs w:val="22"/>
              </w:rPr>
              <w:instrText xml:space="preserve">FORMTEXT </w:instrText>
            </w:r>
            <w:r w:rsidR="00A755A1">
              <w:rPr>
                <w:color w:val="000000"/>
                <w:sz w:val="22"/>
                <w:szCs w:val="22"/>
              </w:rPr>
            </w:r>
            <w:r w:rsidR="00A755A1">
              <w:rPr>
                <w:color w:val="000000"/>
                <w:sz w:val="22"/>
                <w:szCs w:val="22"/>
              </w:rPr>
              <w:fldChar w:fldCharType="separate"/>
            </w:r>
            <w:r w:rsidR="00370629" w:rsidRPr="001731CE">
              <w:rPr>
                <w:color w:val="000000"/>
                <w:sz w:val="22"/>
                <w:szCs w:val="22"/>
              </w:rPr>
              <w:fldChar w:fldCharType="end"/>
            </w:r>
            <w:bookmarkEnd w:id="45"/>
          </w:p>
        </w:tc>
        <w:tc>
          <w:tcPr>
            <w:tcW w:w="2362" w:type="dxa"/>
          </w:tcPr>
          <w:p w14:paraId="4B89CE68" w14:textId="701F3216" w:rsidR="00511CD5" w:rsidRPr="001731CE" w:rsidRDefault="00DD16DC" w:rsidP="00AA4E74">
            <w:pPr>
              <w:shd w:val="clear" w:color="auto" w:fill="FFFFFF"/>
              <w:rPr>
                <w:color w:val="000000"/>
                <w:sz w:val="22"/>
                <w:szCs w:val="22"/>
              </w:rPr>
            </w:pPr>
            <w:r>
              <w:rPr>
                <w:color w:val="000000"/>
                <w:sz w:val="22"/>
                <w:szCs w:val="22"/>
              </w:rPr>
              <w:t>Financial Secretary &amp; GEF Operational Focal Point</w:t>
            </w:r>
          </w:p>
        </w:tc>
        <w:tc>
          <w:tcPr>
            <w:tcW w:w="1877" w:type="dxa"/>
          </w:tcPr>
          <w:p w14:paraId="00C04CAB" w14:textId="51A4BDC8" w:rsidR="00511CD5" w:rsidRPr="001731CE" w:rsidRDefault="00DD16DC" w:rsidP="00DD16DC">
            <w:pPr>
              <w:shd w:val="clear" w:color="auto" w:fill="FFFFFF"/>
              <w:rPr>
                <w:b/>
                <w:bCs/>
                <w:smallCaps/>
                <w:color w:val="000000"/>
                <w:sz w:val="22"/>
                <w:szCs w:val="22"/>
              </w:rPr>
            </w:pPr>
            <w:r>
              <w:rPr>
                <w:b/>
                <w:bCs/>
                <w:smallCaps/>
                <w:color w:val="000000"/>
                <w:sz w:val="22"/>
                <w:szCs w:val="22"/>
              </w:rPr>
              <w:t>Ministry of finance &amp; economic development</w:t>
            </w:r>
          </w:p>
        </w:tc>
        <w:tc>
          <w:tcPr>
            <w:tcW w:w="2524" w:type="dxa"/>
          </w:tcPr>
          <w:p w14:paraId="6C49EA46" w14:textId="2F9014D2" w:rsidR="00511CD5" w:rsidRPr="001731CE" w:rsidRDefault="0043419B" w:rsidP="00AA4E74">
            <w:pPr>
              <w:shd w:val="clear" w:color="auto" w:fill="FFFFFF"/>
              <w:jc w:val="both"/>
              <w:rPr>
                <w:b/>
                <w:bCs/>
                <w:smallCaps/>
                <w:color w:val="000000"/>
                <w:sz w:val="22"/>
                <w:szCs w:val="22"/>
              </w:rPr>
            </w:pPr>
            <w:r w:rsidRPr="0043419B">
              <w:rPr>
                <w:b/>
                <w:bCs/>
                <w:smallCaps/>
                <w:color w:val="000000"/>
                <w:sz w:val="22"/>
                <w:szCs w:val="22"/>
                <w:highlight w:val="yellow"/>
              </w:rPr>
              <w:t>XXX</w:t>
            </w:r>
          </w:p>
        </w:tc>
      </w:tr>
    </w:tbl>
    <w:p w14:paraId="1C654E62" w14:textId="77777777" w:rsidR="002B2C06" w:rsidRPr="001731CE" w:rsidRDefault="002B2C06" w:rsidP="00305BB6">
      <w:pPr>
        <w:pStyle w:val="GEFTableHeading"/>
        <w:shd w:val="clear" w:color="auto" w:fill="FFFFFF"/>
        <w:ind w:left="0"/>
        <w:rPr>
          <w:rFonts w:ascii="Times New Roman" w:hAnsi="Times New Roman"/>
        </w:rPr>
      </w:pPr>
    </w:p>
    <w:sectPr w:rsidR="002B2C06" w:rsidRPr="001731CE" w:rsidSect="007D2EF6">
      <w:headerReference w:type="default" r:id="rId15"/>
      <w:footerReference w:type="even" r:id="rId16"/>
      <w:footerReference w:type="default" r:id="rId17"/>
      <w:type w:val="continuous"/>
      <w:pgSz w:w="12240" w:h="15840" w:code="1"/>
      <w:pgMar w:top="1152" w:right="810" w:bottom="1152" w:left="18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D7CE1" w14:textId="77777777" w:rsidR="00A755A1" w:rsidRDefault="00A755A1">
      <w:r>
        <w:separator/>
      </w:r>
    </w:p>
  </w:endnote>
  <w:endnote w:type="continuationSeparator" w:id="0">
    <w:p w14:paraId="32A783BA" w14:textId="77777777" w:rsidR="00A755A1" w:rsidRDefault="00A7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422D5" w14:textId="77777777" w:rsidR="00183ABE" w:rsidRDefault="00183ABE" w:rsidP="0099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C919AC" w14:textId="77777777" w:rsidR="00183ABE" w:rsidRDefault="00183A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7CBEE" w14:textId="77777777" w:rsidR="00183ABE" w:rsidRDefault="00183ABE" w:rsidP="0099128C">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29</w:t>
    </w:r>
    <w:r>
      <w:rPr>
        <w:rStyle w:val="PageNumber"/>
        <w:sz w:val="20"/>
      </w:rPr>
      <w:fldChar w:fldCharType="end"/>
    </w:r>
  </w:p>
  <w:p w14:paraId="3F9768B1" w14:textId="77777777" w:rsidR="00183ABE" w:rsidRDefault="00183ABE" w:rsidP="002A0791">
    <w:pPr>
      <w:pStyle w:val="Footer"/>
      <w:ind w:left="-540" w:right="360"/>
      <w:rPr>
        <w:color w:val="999999"/>
        <w:sz w:val="16"/>
      </w:rPr>
    </w:pPr>
    <w:r>
      <w:rPr>
        <w:color w:val="999999"/>
        <w:sz w:val="16"/>
      </w:rPr>
      <w:t xml:space="preserve">                      </w:t>
    </w:r>
  </w:p>
  <w:p w14:paraId="2E98121D" w14:textId="77777777" w:rsidR="00183ABE" w:rsidRPr="00BC65D9" w:rsidRDefault="00183ABE" w:rsidP="00A63AFB">
    <w:pPr>
      <w:pStyle w:val="Footer"/>
      <w:ind w:left="-540"/>
      <w:rPr>
        <w:lang w:val="en-US"/>
      </w:rPr>
    </w:pPr>
    <w:r>
      <w:rPr>
        <w:color w:val="999999"/>
        <w:sz w:val="16"/>
      </w:rPr>
      <w:t>GEF-</w:t>
    </w:r>
    <w:r>
      <w:rPr>
        <w:color w:val="999999"/>
        <w:sz w:val="16"/>
        <w:lang w:val="en-US"/>
      </w:rPr>
      <w:t>7</w:t>
    </w:r>
    <w:r>
      <w:rPr>
        <w:color w:val="999999"/>
        <w:sz w:val="16"/>
      </w:rPr>
      <w:t xml:space="preserve"> PIF Template-</w:t>
    </w:r>
    <w:r>
      <w:rPr>
        <w:color w:val="999999"/>
        <w:sz w:val="16"/>
        <w:lang w:val="en-US"/>
      </w:rPr>
      <w:t xml:space="preserve">July 2018 </w:t>
    </w:r>
  </w:p>
  <w:p w14:paraId="1AFBA4C6" w14:textId="77777777" w:rsidR="00183ABE" w:rsidRDefault="0018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B39AE" w14:textId="77777777" w:rsidR="00A755A1" w:rsidRDefault="00A755A1">
      <w:r>
        <w:separator/>
      </w:r>
    </w:p>
  </w:footnote>
  <w:footnote w:type="continuationSeparator" w:id="0">
    <w:p w14:paraId="5FCD6A9B" w14:textId="77777777" w:rsidR="00A755A1" w:rsidRDefault="00A755A1">
      <w:r>
        <w:continuationSeparator/>
      </w:r>
    </w:p>
  </w:footnote>
  <w:footnote w:id="1">
    <w:p w14:paraId="3C7C399B" w14:textId="77777777" w:rsidR="00183ABE" w:rsidRPr="00C16C96" w:rsidRDefault="00183ABE" w:rsidP="00EF4BA2">
      <w:pPr>
        <w:pStyle w:val="FootnoteText"/>
        <w:ind w:left="-567"/>
        <w:rPr>
          <w:sz w:val="16"/>
          <w:szCs w:val="16"/>
        </w:rPr>
      </w:pPr>
      <w:r w:rsidRPr="00C16C96">
        <w:rPr>
          <w:rStyle w:val="FootnoteReference"/>
          <w:sz w:val="16"/>
          <w:szCs w:val="16"/>
        </w:rPr>
        <w:footnoteRef/>
      </w:r>
      <w:r w:rsidRPr="00C16C96">
        <w:rPr>
          <w:sz w:val="16"/>
          <w:szCs w:val="16"/>
        </w:rPr>
        <w:t xml:space="preserve"> Capacity Building Initiative for Transparency (CBIT)</w:t>
      </w:r>
    </w:p>
  </w:footnote>
  <w:footnote w:id="2">
    <w:p w14:paraId="04BAB7D8" w14:textId="77777777" w:rsidR="00183ABE" w:rsidRPr="00453EC2" w:rsidRDefault="00183ABE" w:rsidP="00EF4BA2">
      <w:pPr>
        <w:ind w:left="-567" w:right="-810"/>
        <w:rPr>
          <w:sz w:val="16"/>
          <w:szCs w:val="16"/>
          <w:u w:val="single"/>
        </w:rPr>
      </w:pPr>
      <w:r w:rsidRPr="00453EC2">
        <w:rPr>
          <w:rStyle w:val="FootnoteReference"/>
          <w:sz w:val="16"/>
          <w:szCs w:val="16"/>
        </w:rPr>
        <w:footnoteRef/>
      </w:r>
      <w:r w:rsidRPr="00453EC2">
        <w:rPr>
          <w:sz w:val="16"/>
          <w:szCs w:val="16"/>
        </w:rPr>
        <w:t xml:space="preserve"> </w:t>
      </w:r>
      <w:hyperlink r:id="rId1" w:history="1">
        <w:r w:rsidRPr="00453EC2">
          <w:rPr>
            <w:rStyle w:val="Hyperlink"/>
            <w:sz w:val="16"/>
            <w:szCs w:val="16"/>
          </w:rPr>
          <w:t>https://cdm.unfccc.int/methodologies/standard_base/Grid_emission_Mauritius.pdf</w:t>
        </w:r>
      </w:hyperlink>
      <w:r w:rsidRPr="00453EC2">
        <w:rPr>
          <w:sz w:val="16"/>
          <w:szCs w:val="16"/>
          <w:u w:val="single"/>
        </w:rPr>
        <w:t xml:space="preserve"> </w:t>
      </w:r>
    </w:p>
  </w:footnote>
  <w:footnote w:id="3">
    <w:p w14:paraId="0A2B865B" w14:textId="77777777" w:rsidR="00183ABE" w:rsidRPr="00C12A6C" w:rsidRDefault="00183ABE" w:rsidP="00737402">
      <w:pPr>
        <w:pStyle w:val="FootnoteText"/>
        <w:rPr>
          <w:sz w:val="16"/>
          <w:szCs w:val="16"/>
        </w:rPr>
      </w:pPr>
      <w:r w:rsidRPr="00C12A6C">
        <w:rPr>
          <w:rStyle w:val="FootnoteReference"/>
          <w:sz w:val="16"/>
          <w:szCs w:val="16"/>
        </w:rPr>
        <w:footnoteRef/>
      </w:r>
      <w:r w:rsidRPr="00C12A6C">
        <w:rPr>
          <w:sz w:val="16"/>
          <w:szCs w:val="16"/>
        </w:rPr>
        <w:t xml:space="preserve"> </w:t>
      </w:r>
      <w:hyperlink r:id="rId2" w:history="1">
        <w:r w:rsidRPr="00C12A6C">
          <w:rPr>
            <w:rStyle w:val="Hyperlink"/>
            <w:sz w:val="16"/>
            <w:szCs w:val="16"/>
          </w:rPr>
          <w:t>http://environment.govmu.org/English/Climate_Change/Pages/CCIC.aspx</w:t>
        </w:r>
      </w:hyperlink>
      <w:r w:rsidRPr="00C12A6C">
        <w:rPr>
          <w:sz w:val="16"/>
          <w:szCs w:val="16"/>
        </w:rPr>
        <w:t xml:space="preserve"> </w:t>
      </w:r>
    </w:p>
  </w:footnote>
  <w:footnote w:id="4">
    <w:p w14:paraId="42CDFCF7" w14:textId="77777777" w:rsidR="00183ABE" w:rsidRPr="006E6EA7" w:rsidRDefault="00183ABE" w:rsidP="00114D4F">
      <w:pPr>
        <w:pStyle w:val="FootnoteText"/>
        <w:rPr>
          <w:sz w:val="16"/>
          <w:szCs w:val="16"/>
        </w:rPr>
      </w:pPr>
      <w:r w:rsidRPr="006E6EA7">
        <w:rPr>
          <w:rStyle w:val="FootnoteReference"/>
          <w:sz w:val="16"/>
          <w:szCs w:val="16"/>
        </w:rPr>
        <w:footnoteRef/>
      </w:r>
      <w:r w:rsidRPr="006E6EA7">
        <w:rPr>
          <w:sz w:val="16"/>
          <w:szCs w:val="16"/>
        </w:rPr>
        <w:t xml:space="preserve"> Including the capacity of </w:t>
      </w:r>
      <w:r>
        <w:rPr>
          <w:sz w:val="16"/>
          <w:szCs w:val="16"/>
        </w:rPr>
        <w:t xml:space="preserve">the 3 </w:t>
      </w:r>
      <w:r w:rsidRPr="006E6EA7">
        <w:rPr>
          <w:sz w:val="16"/>
          <w:szCs w:val="16"/>
        </w:rPr>
        <w:t>power plants that utilise bagasse in combination with coal.</w:t>
      </w:r>
    </w:p>
  </w:footnote>
  <w:footnote w:id="5">
    <w:p w14:paraId="14B51DDF" w14:textId="77777777" w:rsidR="00183ABE" w:rsidRPr="00A6463F" w:rsidRDefault="00183ABE" w:rsidP="00315F74">
      <w:pPr>
        <w:rPr>
          <w:b/>
          <w:sz w:val="16"/>
          <w:szCs w:val="16"/>
        </w:rPr>
      </w:pPr>
      <w:r w:rsidRPr="00A6463F">
        <w:rPr>
          <w:rStyle w:val="FootnoteReference"/>
          <w:sz w:val="16"/>
          <w:szCs w:val="16"/>
        </w:rPr>
        <w:footnoteRef/>
      </w:r>
      <w:r w:rsidRPr="00A6463F">
        <w:rPr>
          <w:sz w:val="16"/>
          <w:szCs w:val="16"/>
        </w:rPr>
        <w:t xml:space="preserve"> Business Mauritius</w:t>
      </w:r>
      <w:r w:rsidRPr="00A6463F">
        <w:rPr>
          <w:b/>
          <w:sz w:val="16"/>
          <w:szCs w:val="16"/>
        </w:rPr>
        <w:t xml:space="preserve"> </w:t>
      </w:r>
      <w:r w:rsidRPr="00A6463F">
        <w:rPr>
          <w:rStyle w:val="Strong"/>
          <w:b w:val="0"/>
          <w:sz w:val="16"/>
          <w:szCs w:val="16"/>
        </w:rPr>
        <w:t>is an independent association that represents 1,200 local businesses and sectoral chambers of commerce.</w:t>
      </w:r>
    </w:p>
    <w:p w14:paraId="0347B61B" w14:textId="77777777" w:rsidR="00183ABE" w:rsidRPr="00EA0A5B" w:rsidRDefault="00183ABE" w:rsidP="00315F74">
      <w:pPr>
        <w:pStyle w:val="FootnoteText"/>
      </w:pPr>
    </w:p>
  </w:footnote>
  <w:footnote w:id="6">
    <w:p w14:paraId="5242F138" w14:textId="0C443DA4" w:rsidR="00183ABE" w:rsidRPr="00DA620E" w:rsidRDefault="00183ABE">
      <w:pPr>
        <w:pStyle w:val="FootnoteText"/>
        <w:rPr>
          <w:sz w:val="16"/>
          <w:szCs w:val="16"/>
        </w:rPr>
      </w:pPr>
      <w:r w:rsidRPr="00DA620E">
        <w:rPr>
          <w:rStyle w:val="FootnoteReference"/>
          <w:sz w:val="16"/>
          <w:szCs w:val="16"/>
        </w:rPr>
        <w:footnoteRef/>
      </w:r>
      <w:r w:rsidRPr="00DA620E">
        <w:rPr>
          <w:sz w:val="16"/>
          <w:szCs w:val="16"/>
        </w:rPr>
        <w:t xml:space="preserve"> </w:t>
      </w:r>
      <w:hyperlink r:id="rId3" w:history="1">
        <w:r w:rsidRPr="00DA620E">
          <w:rPr>
            <w:rStyle w:val="Hyperlink"/>
            <w:sz w:val="16"/>
            <w:szCs w:val="16"/>
          </w:rPr>
          <w:t>http://www.un-gsp.org/</w:t>
        </w:r>
      </w:hyperlink>
      <w:r w:rsidRPr="00DA620E">
        <w:rPr>
          <w:sz w:val="16"/>
          <w:szCs w:val="16"/>
        </w:rPr>
        <w:t xml:space="preserve"> </w:t>
      </w:r>
    </w:p>
  </w:footnote>
  <w:footnote w:id="7">
    <w:p w14:paraId="2B599220" w14:textId="55C7E740" w:rsidR="00183ABE" w:rsidRPr="00DA620E" w:rsidRDefault="00183ABE">
      <w:pPr>
        <w:pStyle w:val="FootnoteText"/>
        <w:rPr>
          <w:sz w:val="16"/>
          <w:szCs w:val="16"/>
        </w:rPr>
      </w:pPr>
      <w:r w:rsidRPr="00DA620E">
        <w:rPr>
          <w:rStyle w:val="FootnoteReference"/>
          <w:sz w:val="16"/>
          <w:szCs w:val="16"/>
        </w:rPr>
        <w:footnoteRef/>
      </w:r>
      <w:r w:rsidRPr="00DA620E">
        <w:rPr>
          <w:sz w:val="16"/>
          <w:szCs w:val="16"/>
        </w:rPr>
        <w:t xml:space="preserve"> </w:t>
      </w:r>
      <w:hyperlink r:id="rId4" w:history="1">
        <w:r w:rsidRPr="00DA620E">
          <w:rPr>
            <w:rStyle w:val="Hyperlink"/>
            <w:sz w:val="16"/>
            <w:szCs w:val="16"/>
          </w:rPr>
          <w:t>https://www.cbitplatform.org/</w:t>
        </w:r>
      </w:hyperlink>
      <w:r w:rsidRPr="00DA620E">
        <w:rPr>
          <w:sz w:val="16"/>
          <w:szCs w:val="16"/>
        </w:rPr>
        <w:t xml:space="preserve"> </w:t>
      </w:r>
    </w:p>
  </w:footnote>
  <w:footnote w:id="8">
    <w:p w14:paraId="4C257D87" w14:textId="00D5A340" w:rsidR="00183ABE" w:rsidRPr="00632BEA" w:rsidRDefault="00183ABE">
      <w:pPr>
        <w:pStyle w:val="FootnoteText"/>
        <w:rPr>
          <w:sz w:val="16"/>
          <w:szCs w:val="16"/>
        </w:rPr>
      </w:pPr>
      <w:r w:rsidRPr="00632BEA">
        <w:rPr>
          <w:rStyle w:val="FootnoteReference"/>
          <w:sz w:val="16"/>
          <w:szCs w:val="16"/>
        </w:rPr>
        <w:footnoteRef/>
      </w:r>
      <w:r w:rsidRPr="00632BEA">
        <w:rPr>
          <w:sz w:val="16"/>
          <w:szCs w:val="16"/>
        </w:rPr>
        <w:t xml:space="preserve"> This is a non-exhaustive list. Other stakeholders consulted included, for example, </w:t>
      </w:r>
      <w:r>
        <w:rPr>
          <w:sz w:val="16"/>
          <w:szCs w:val="16"/>
        </w:rPr>
        <w:t xml:space="preserve">the GEF OFP, </w:t>
      </w:r>
      <w:r w:rsidRPr="00632BEA">
        <w:rPr>
          <w:sz w:val="16"/>
          <w:szCs w:val="16"/>
        </w:rPr>
        <w:t xml:space="preserve">the Ministry of Energy and Public Utilities, the Ministry of Industry, Commerce and Consumer Protection, the Ministry of Ocean Economy, Marine Resources, Fisheries and Shipping, the Wastewater Management Authority, the Energy Efficiency Management Office, </w:t>
      </w:r>
      <w:r>
        <w:rPr>
          <w:sz w:val="16"/>
          <w:szCs w:val="16"/>
        </w:rPr>
        <w:t xml:space="preserve">Mauritius Ports Authority, </w:t>
      </w:r>
      <w:r w:rsidRPr="00632BEA">
        <w:rPr>
          <w:sz w:val="16"/>
          <w:szCs w:val="16"/>
        </w:rPr>
        <w:t>the Civil Aviation Department</w:t>
      </w:r>
      <w:r>
        <w:rPr>
          <w:sz w:val="16"/>
          <w:szCs w:val="16"/>
        </w:rPr>
        <w:t>, the Central Informatics Bureau, the Central Information Systems Division</w:t>
      </w:r>
      <w:r w:rsidRPr="00632BEA">
        <w:rPr>
          <w:sz w:val="16"/>
          <w:szCs w:val="16"/>
        </w:rPr>
        <w:t xml:space="preserve"> and others.</w:t>
      </w:r>
    </w:p>
  </w:footnote>
  <w:footnote w:id="9">
    <w:p w14:paraId="199B0608" w14:textId="52F142B3" w:rsidR="00183ABE" w:rsidRPr="0099327D" w:rsidRDefault="00183ABE" w:rsidP="0099327D">
      <w:pPr>
        <w:pStyle w:val="FootnoteText"/>
        <w:rPr>
          <w:i/>
          <w:sz w:val="16"/>
          <w:szCs w:val="16"/>
        </w:rPr>
      </w:pPr>
      <w:r w:rsidRPr="0099327D">
        <w:rPr>
          <w:rStyle w:val="FootnoteReference"/>
          <w:sz w:val="16"/>
          <w:szCs w:val="16"/>
        </w:rPr>
        <w:footnoteRef/>
      </w:r>
      <w:r w:rsidRPr="0099327D">
        <w:rPr>
          <w:sz w:val="16"/>
          <w:szCs w:val="16"/>
        </w:rPr>
        <w:t xml:space="preserve"> GEF (2018)</w:t>
      </w:r>
      <w:r>
        <w:rPr>
          <w:sz w:val="16"/>
          <w:szCs w:val="16"/>
        </w:rPr>
        <w:t>,</w:t>
      </w:r>
      <w:r w:rsidRPr="0099327D">
        <w:rPr>
          <w:sz w:val="16"/>
          <w:szCs w:val="16"/>
        </w:rPr>
        <w:t xml:space="preserve"> </w:t>
      </w:r>
      <w:r w:rsidRPr="0099327D">
        <w:rPr>
          <w:i/>
          <w:sz w:val="16"/>
          <w:szCs w:val="16"/>
        </w:rPr>
        <w:t>GEF Policy on Gender Equality.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C0A21" w14:textId="77777777" w:rsidR="00183ABE" w:rsidRDefault="00183ABE" w:rsidP="00F97C1C">
    <w:pPr>
      <w:pStyle w:val="Header"/>
      <w:ind w:left="720"/>
    </w:pPr>
  </w:p>
  <w:p w14:paraId="69ED7F35" w14:textId="77777777" w:rsidR="00183ABE" w:rsidRDefault="00183A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25C7D48"/>
    <w:multiLevelType w:val="hybridMultilevel"/>
    <w:tmpl w:val="EC24CFB2"/>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 w15:restartNumberingAfterBreak="0">
    <w:nsid w:val="13D2236B"/>
    <w:multiLevelType w:val="hybridMultilevel"/>
    <w:tmpl w:val="B83C7550"/>
    <w:lvl w:ilvl="0" w:tplc="F606E5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E7249"/>
    <w:multiLevelType w:val="hybridMultilevel"/>
    <w:tmpl w:val="1C2C2642"/>
    <w:lvl w:ilvl="0" w:tplc="C06EE852">
      <w:start w:val="1"/>
      <w:numFmt w:val="lowerLetter"/>
      <w:lvlText w:val="(%1)"/>
      <w:lvlJc w:val="left"/>
      <w:pPr>
        <w:ind w:left="-90" w:hanging="360"/>
      </w:pPr>
      <w:rPr>
        <w:rFonts w:ascii="Times New Roman" w:hAnsi="Times New Roman" w:hint="default"/>
        <w:color w:val="00000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15:restartNumberingAfterBreak="0">
    <w:nsid w:val="2DC75E23"/>
    <w:multiLevelType w:val="hybridMultilevel"/>
    <w:tmpl w:val="6090D21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5" w15:restartNumberingAfterBreak="0">
    <w:nsid w:val="2FA91AF3"/>
    <w:multiLevelType w:val="hybridMultilevel"/>
    <w:tmpl w:val="D47E9768"/>
    <w:lvl w:ilvl="0" w:tplc="D4928FE8">
      <w:start w:val="1"/>
      <w:numFmt w:val="bullet"/>
      <w:pStyle w:val="ListParagraph"/>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6" w15:restartNumberingAfterBreak="0">
    <w:nsid w:val="31C75AD6"/>
    <w:multiLevelType w:val="hybridMultilevel"/>
    <w:tmpl w:val="01161038"/>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7" w15:restartNumberingAfterBreak="0">
    <w:nsid w:val="3A5E7AF5"/>
    <w:multiLevelType w:val="hybridMultilevel"/>
    <w:tmpl w:val="C4FE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40BB2"/>
    <w:multiLevelType w:val="hybridMultilevel"/>
    <w:tmpl w:val="8B468FCE"/>
    <w:lvl w:ilvl="0" w:tplc="0E60F5D4">
      <w:start w:val="1"/>
      <w:numFmt w:val="lowerRoman"/>
      <w:lvlText w:val="%1)"/>
      <w:lvlJc w:val="left"/>
      <w:pPr>
        <w:ind w:left="360" w:hanging="720"/>
      </w:pPr>
      <w:rPr>
        <w:rFonts w:hint="default"/>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9" w15:restartNumberingAfterBreak="0">
    <w:nsid w:val="509E7B28"/>
    <w:multiLevelType w:val="hybridMultilevel"/>
    <w:tmpl w:val="ECF2BC3A"/>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0" w15:restartNumberingAfterBreak="0">
    <w:nsid w:val="640B4F21"/>
    <w:multiLevelType w:val="hybridMultilevel"/>
    <w:tmpl w:val="C03C2E9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6C55481D"/>
    <w:multiLevelType w:val="hybridMultilevel"/>
    <w:tmpl w:val="9E803198"/>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11"/>
  </w:num>
  <w:num w:numId="6">
    <w:abstractNumId w:val="7"/>
  </w:num>
  <w:num w:numId="7">
    <w:abstractNumId w:val="10"/>
  </w:num>
  <w:num w:numId="8">
    <w:abstractNumId w:val="4"/>
  </w:num>
  <w:num w:numId="9">
    <w:abstractNumId w:val="5"/>
  </w:num>
  <w:num w:numId="10">
    <w:abstractNumId w:val="6"/>
  </w:num>
  <w:num w:numId="11">
    <w:abstractNumId w:val="9"/>
  </w:num>
  <w:num w:numId="12">
    <w:abstractNumId w:val="8"/>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A1"/>
    <w:rsid w:val="0000045B"/>
    <w:rsid w:val="000010C0"/>
    <w:rsid w:val="0000153B"/>
    <w:rsid w:val="00001540"/>
    <w:rsid w:val="0000198C"/>
    <w:rsid w:val="00001C88"/>
    <w:rsid w:val="000031E5"/>
    <w:rsid w:val="00003425"/>
    <w:rsid w:val="000038F8"/>
    <w:rsid w:val="000053EF"/>
    <w:rsid w:val="00006983"/>
    <w:rsid w:val="00007643"/>
    <w:rsid w:val="00007668"/>
    <w:rsid w:val="00007721"/>
    <w:rsid w:val="00007E9E"/>
    <w:rsid w:val="000100BF"/>
    <w:rsid w:val="000108DE"/>
    <w:rsid w:val="0001179E"/>
    <w:rsid w:val="00011ECA"/>
    <w:rsid w:val="00012ABB"/>
    <w:rsid w:val="00012B1E"/>
    <w:rsid w:val="00012F7F"/>
    <w:rsid w:val="000140FC"/>
    <w:rsid w:val="00014177"/>
    <w:rsid w:val="000142F3"/>
    <w:rsid w:val="00015275"/>
    <w:rsid w:val="000165B5"/>
    <w:rsid w:val="000172AF"/>
    <w:rsid w:val="00017316"/>
    <w:rsid w:val="00017E78"/>
    <w:rsid w:val="0002037C"/>
    <w:rsid w:val="00020AE2"/>
    <w:rsid w:val="00020C48"/>
    <w:rsid w:val="00020CDE"/>
    <w:rsid w:val="00021667"/>
    <w:rsid w:val="00022AA4"/>
    <w:rsid w:val="0002315B"/>
    <w:rsid w:val="000241CA"/>
    <w:rsid w:val="00024610"/>
    <w:rsid w:val="000248C6"/>
    <w:rsid w:val="00025112"/>
    <w:rsid w:val="0002559C"/>
    <w:rsid w:val="00026FDD"/>
    <w:rsid w:val="00027012"/>
    <w:rsid w:val="00027B28"/>
    <w:rsid w:val="00030BF9"/>
    <w:rsid w:val="00031BC5"/>
    <w:rsid w:val="00031CD6"/>
    <w:rsid w:val="00032129"/>
    <w:rsid w:val="00032264"/>
    <w:rsid w:val="000324A1"/>
    <w:rsid w:val="0003262D"/>
    <w:rsid w:val="00032CC7"/>
    <w:rsid w:val="00033A4B"/>
    <w:rsid w:val="00033C6F"/>
    <w:rsid w:val="00034739"/>
    <w:rsid w:val="0003477D"/>
    <w:rsid w:val="0003527B"/>
    <w:rsid w:val="00035799"/>
    <w:rsid w:val="00035D06"/>
    <w:rsid w:val="00037036"/>
    <w:rsid w:val="00037D23"/>
    <w:rsid w:val="00040D76"/>
    <w:rsid w:val="000419A7"/>
    <w:rsid w:val="00041A99"/>
    <w:rsid w:val="00041C32"/>
    <w:rsid w:val="00041C41"/>
    <w:rsid w:val="00042D7F"/>
    <w:rsid w:val="00043CC3"/>
    <w:rsid w:val="0004518F"/>
    <w:rsid w:val="0004574F"/>
    <w:rsid w:val="00050786"/>
    <w:rsid w:val="00051D32"/>
    <w:rsid w:val="00054155"/>
    <w:rsid w:val="00054F0A"/>
    <w:rsid w:val="00055727"/>
    <w:rsid w:val="000559CB"/>
    <w:rsid w:val="0005694D"/>
    <w:rsid w:val="00060574"/>
    <w:rsid w:val="00061D0D"/>
    <w:rsid w:val="000627B3"/>
    <w:rsid w:val="00062EF1"/>
    <w:rsid w:val="000630F5"/>
    <w:rsid w:val="000634BC"/>
    <w:rsid w:val="00063935"/>
    <w:rsid w:val="0006432F"/>
    <w:rsid w:val="00064ABC"/>
    <w:rsid w:val="00065585"/>
    <w:rsid w:val="000657C9"/>
    <w:rsid w:val="000659BF"/>
    <w:rsid w:val="000660E4"/>
    <w:rsid w:val="0006752B"/>
    <w:rsid w:val="00067679"/>
    <w:rsid w:val="000738DC"/>
    <w:rsid w:val="0007444D"/>
    <w:rsid w:val="00076FCB"/>
    <w:rsid w:val="0008129D"/>
    <w:rsid w:val="00081C7F"/>
    <w:rsid w:val="00082501"/>
    <w:rsid w:val="000833C9"/>
    <w:rsid w:val="000835BA"/>
    <w:rsid w:val="0008396F"/>
    <w:rsid w:val="000846DD"/>
    <w:rsid w:val="00084C06"/>
    <w:rsid w:val="00084D5A"/>
    <w:rsid w:val="00085406"/>
    <w:rsid w:val="000859A9"/>
    <w:rsid w:val="000872B5"/>
    <w:rsid w:val="00087AFE"/>
    <w:rsid w:val="00090610"/>
    <w:rsid w:val="00091470"/>
    <w:rsid w:val="00091523"/>
    <w:rsid w:val="00091563"/>
    <w:rsid w:val="00091854"/>
    <w:rsid w:val="00091CC9"/>
    <w:rsid w:val="00091E89"/>
    <w:rsid w:val="00092595"/>
    <w:rsid w:val="000927F8"/>
    <w:rsid w:val="0009289B"/>
    <w:rsid w:val="00092C5B"/>
    <w:rsid w:val="00092D44"/>
    <w:rsid w:val="00092D4D"/>
    <w:rsid w:val="00092DA9"/>
    <w:rsid w:val="00093892"/>
    <w:rsid w:val="00094011"/>
    <w:rsid w:val="00094580"/>
    <w:rsid w:val="0009489C"/>
    <w:rsid w:val="00094A4D"/>
    <w:rsid w:val="00094E60"/>
    <w:rsid w:val="00094EF1"/>
    <w:rsid w:val="00095B57"/>
    <w:rsid w:val="000961E1"/>
    <w:rsid w:val="0009631C"/>
    <w:rsid w:val="0009716D"/>
    <w:rsid w:val="00097611"/>
    <w:rsid w:val="00097715"/>
    <w:rsid w:val="000978E4"/>
    <w:rsid w:val="00097D58"/>
    <w:rsid w:val="00097FDB"/>
    <w:rsid w:val="000A075B"/>
    <w:rsid w:val="000A080D"/>
    <w:rsid w:val="000A1456"/>
    <w:rsid w:val="000A1BC8"/>
    <w:rsid w:val="000A1C58"/>
    <w:rsid w:val="000A1FD8"/>
    <w:rsid w:val="000A2477"/>
    <w:rsid w:val="000A24E2"/>
    <w:rsid w:val="000A2DB1"/>
    <w:rsid w:val="000A32EC"/>
    <w:rsid w:val="000A365F"/>
    <w:rsid w:val="000A3EEE"/>
    <w:rsid w:val="000A4A58"/>
    <w:rsid w:val="000A4BA2"/>
    <w:rsid w:val="000A5E53"/>
    <w:rsid w:val="000A608B"/>
    <w:rsid w:val="000A69D0"/>
    <w:rsid w:val="000A6C92"/>
    <w:rsid w:val="000A6C97"/>
    <w:rsid w:val="000A7217"/>
    <w:rsid w:val="000B01AE"/>
    <w:rsid w:val="000B0259"/>
    <w:rsid w:val="000B0489"/>
    <w:rsid w:val="000B0DD8"/>
    <w:rsid w:val="000B1255"/>
    <w:rsid w:val="000B13C8"/>
    <w:rsid w:val="000B1C04"/>
    <w:rsid w:val="000B1EF6"/>
    <w:rsid w:val="000B2094"/>
    <w:rsid w:val="000B22DF"/>
    <w:rsid w:val="000B24CA"/>
    <w:rsid w:val="000B2A6B"/>
    <w:rsid w:val="000B3A7A"/>
    <w:rsid w:val="000B464E"/>
    <w:rsid w:val="000B4CD3"/>
    <w:rsid w:val="000B54BD"/>
    <w:rsid w:val="000B5618"/>
    <w:rsid w:val="000B5874"/>
    <w:rsid w:val="000B62E1"/>
    <w:rsid w:val="000B6878"/>
    <w:rsid w:val="000B7A56"/>
    <w:rsid w:val="000B7C74"/>
    <w:rsid w:val="000B7D2E"/>
    <w:rsid w:val="000C0B1A"/>
    <w:rsid w:val="000C10DF"/>
    <w:rsid w:val="000C19AB"/>
    <w:rsid w:val="000C217D"/>
    <w:rsid w:val="000C2469"/>
    <w:rsid w:val="000C2D8F"/>
    <w:rsid w:val="000C44D1"/>
    <w:rsid w:val="000C5C1E"/>
    <w:rsid w:val="000C5EBD"/>
    <w:rsid w:val="000C6DB0"/>
    <w:rsid w:val="000C74DA"/>
    <w:rsid w:val="000C779A"/>
    <w:rsid w:val="000C7928"/>
    <w:rsid w:val="000D0356"/>
    <w:rsid w:val="000D04D5"/>
    <w:rsid w:val="000D0D55"/>
    <w:rsid w:val="000D1047"/>
    <w:rsid w:val="000D2459"/>
    <w:rsid w:val="000D2CEE"/>
    <w:rsid w:val="000D52A4"/>
    <w:rsid w:val="000D55A3"/>
    <w:rsid w:val="000D6933"/>
    <w:rsid w:val="000D6CE5"/>
    <w:rsid w:val="000D73A1"/>
    <w:rsid w:val="000E109F"/>
    <w:rsid w:val="000E1926"/>
    <w:rsid w:val="000E241A"/>
    <w:rsid w:val="000E358B"/>
    <w:rsid w:val="000E35C5"/>
    <w:rsid w:val="000E419D"/>
    <w:rsid w:val="000E58F5"/>
    <w:rsid w:val="000E617E"/>
    <w:rsid w:val="000E625C"/>
    <w:rsid w:val="000E66ED"/>
    <w:rsid w:val="000E79F7"/>
    <w:rsid w:val="000F0242"/>
    <w:rsid w:val="000F1B20"/>
    <w:rsid w:val="000F285E"/>
    <w:rsid w:val="000F36AB"/>
    <w:rsid w:val="000F36DE"/>
    <w:rsid w:val="000F4603"/>
    <w:rsid w:val="000F52DF"/>
    <w:rsid w:val="000F6F70"/>
    <w:rsid w:val="000F71B0"/>
    <w:rsid w:val="00101153"/>
    <w:rsid w:val="00103620"/>
    <w:rsid w:val="00103647"/>
    <w:rsid w:val="00103D7D"/>
    <w:rsid w:val="00104656"/>
    <w:rsid w:val="00104C4C"/>
    <w:rsid w:val="00106305"/>
    <w:rsid w:val="0010661C"/>
    <w:rsid w:val="00106891"/>
    <w:rsid w:val="001068E6"/>
    <w:rsid w:val="001069BC"/>
    <w:rsid w:val="00107376"/>
    <w:rsid w:val="00110314"/>
    <w:rsid w:val="00110321"/>
    <w:rsid w:val="00112A0E"/>
    <w:rsid w:val="00112DE3"/>
    <w:rsid w:val="00112E4B"/>
    <w:rsid w:val="001132D4"/>
    <w:rsid w:val="001144D8"/>
    <w:rsid w:val="001145FC"/>
    <w:rsid w:val="00114689"/>
    <w:rsid w:val="00114BBC"/>
    <w:rsid w:val="00114D4F"/>
    <w:rsid w:val="00115A6E"/>
    <w:rsid w:val="00115D01"/>
    <w:rsid w:val="00116514"/>
    <w:rsid w:val="00116981"/>
    <w:rsid w:val="0011723E"/>
    <w:rsid w:val="001179A3"/>
    <w:rsid w:val="001179BD"/>
    <w:rsid w:val="001200FA"/>
    <w:rsid w:val="001209F8"/>
    <w:rsid w:val="0012189E"/>
    <w:rsid w:val="0012221A"/>
    <w:rsid w:val="00123223"/>
    <w:rsid w:val="001239CE"/>
    <w:rsid w:val="001245CF"/>
    <w:rsid w:val="00124DB1"/>
    <w:rsid w:val="00124E06"/>
    <w:rsid w:val="001259DC"/>
    <w:rsid w:val="00125A4C"/>
    <w:rsid w:val="00125A8C"/>
    <w:rsid w:val="001262AE"/>
    <w:rsid w:val="0012641D"/>
    <w:rsid w:val="00127C6D"/>
    <w:rsid w:val="00127D2D"/>
    <w:rsid w:val="00130F18"/>
    <w:rsid w:val="00131073"/>
    <w:rsid w:val="00131E93"/>
    <w:rsid w:val="00132636"/>
    <w:rsid w:val="00132707"/>
    <w:rsid w:val="001336BE"/>
    <w:rsid w:val="001337A4"/>
    <w:rsid w:val="00133F08"/>
    <w:rsid w:val="0013422A"/>
    <w:rsid w:val="00134477"/>
    <w:rsid w:val="0013498F"/>
    <w:rsid w:val="00134B58"/>
    <w:rsid w:val="00134D93"/>
    <w:rsid w:val="001351B8"/>
    <w:rsid w:val="00135456"/>
    <w:rsid w:val="001365E8"/>
    <w:rsid w:val="0013694B"/>
    <w:rsid w:val="00136D42"/>
    <w:rsid w:val="0013767F"/>
    <w:rsid w:val="0014041E"/>
    <w:rsid w:val="00140549"/>
    <w:rsid w:val="00140627"/>
    <w:rsid w:val="001407DC"/>
    <w:rsid w:val="0014092F"/>
    <w:rsid w:val="00141F89"/>
    <w:rsid w:val="00142B7C"/>
    <w:rsid w:val="00143997"/>
    <w:rsid w:val="0014447F"/>
    <w:rsid w:val="00144B29"/>
    <w:rsid w:val="001457E6"/>
    <w:rsid w:val="001469A4"/>
    <w:rsid w:val="00150F18"/>
    <w:rsid w:val="001515DC"/>
    <w:rsid w:val="00151844"/>
    <w:rsid w:val="00151AA3"/>
    <w:rsid w:val="00152098"/>
    <w:rsid w:val="0015390A"/>
    <w:rsid w:val="00153C62"/>
    <w:rsid w:val="001540CA"/>
    <w:rsid w:val="001543B9"/>
    <w:rsid w:val="00154A18"/>
    <w:rsid w:val="00154A4B"/>
    <w:rsid w:val="00155122"/>
    <w:rsid w:val="00155DA7"/>
    <w:rsid w:val="00155E5C"/>
    <w:rsid w:val="00156962"/>
    <w:rsid w:val="00156F25"/>
    <w:rsid w:val="00156FDD"/>
    <w:rsid w:val="00157703"/>
    <w:rsid w:val="00157C1D"/>
    <w:rsid w:val="00160E3C"/>
    <w:rsid w:val="00161618"/>
    <w:rsid w:val="00161EF2"/>
    <w:rsid w:val="00163831"/>
    <w:rsid w:val="00164096"/>
    <w:rsid w:val="00164A4F"/>
    <w:rsid w:val="0016500E"/>
    <w:rsid w:val="001657B9"/>
    <w:rsid w:val="00165874"/>
    <w:rsid w:val="001658CB"/>
    <w:rsid w:val="00166A80"/>
    <w:rsid w:val="001677EF"/>
    <w:rsid w:val="00167A53"/>
    <w:rsid w:val="0017027C"/>
    <w:rsid w:val="001708CA"/>
    <w:rsid w:val="00170BB4"/>
    <w:rsid w:val="00170E90"/>
    <w:rsid w:val="00172533"/>
    <w:rsid w:val="0017308F"/>
    <w:rsid w:val="001731CE"/>
    <w:rsid w:val="00174075"/>
    <w:rsid w:val="00175A71"/>
    <w:rsid w:val="001765D5"/>
    <w:rsid w:val="001769C4"/>
    <w:rsid w:val="00177312"/>
    <w:rsid w:val="00177611"/>
    <w:rsid w:val="00177666"/>
    <w:rsid w:val="00180144"/>
    <w:rsid w:val="0018053B"/>
    <w:rsid w:val="001814BA"/>
    <w:rsid w:val="00181537"/>
    <w:rsid w:val="00181E93"/>
    <w:rsid w:val="0018281F"/>
    <w:rsid w:val="00183ABE"/>
    <w:rsid w:val="00183E2F"/>
    <w:rsid w:val="00184354"/>
    <w:rsid w:val="00184A13"/>
    <w:rsid w:val="00185079"/>
    <w:rsid w:val="00186780"/>
    <w:rsid w:val="001876D9"/>
    <w:rsid w:val="001876E4"/>
    <w:rsid w:val="00191A84"/>
    <w:rsid w:val="001921B5"/>
    <w:rsid w:val="001923DE"/>
    <w:rsid w:val="0019324D"/>
    <w:rsid w:val="00193AEB"/>
    <w:rsid w:val="00193EB4"/>
    <w:rsid w:val="001940D6"/>
    <w:rsid w:val="00194211"/>
    <w:rsid w:val="001943C6"/>
    <w:rsid w:val="0019499C"/>
    <w:rsid w:val="00194B06"/>
    <w:rsid w:val="0019510D"/>
    <w:rsid w:val="0019632A"/>
    <w:rsid w:val="001969D0"/>
    <w:rsid w:val="00197955"/>
    <w:rsid w:val="001A014C"/>
    <w:rsid w:val="001A030A"/>
    <w:rsid w:val="001A04CA"/>
    <w:rsid w:val="001A108F"/>
    <w:rsid w:val="001A17CC"/>
    <w:rsid w:val="001A1972"/>
    <w:rsid w:val="001A1BFC"/>
    <w:rsid w:val="001A34A9"/>
    <w:rsid w:val="001A34C1"/>
    <w:rsid w:val="001A3731"/>
    <w:rsid w:val="001A4067"/>
    <w:rsid w:val="001A45FC"/>
    <w:rsid w:val="001A4C96"/>
    <w:rsid w:val="001A5D0C"/>
    <w:rsid w:val="001B1128"/>
    <w:rsid w:val="001B1450"/>
    <w:rsid w:val="001B14C4"/>
    <w:rsid w:val="001B1931"/>
    <w:rsid w:val="001B1AAB"/>
    <w:rsid w:val="001B1FC5"/>
    <w:rsid w:val="001B22A8"/>
    <w:rsid w:val="001B2C26"/>
    <w:rsid w:val="001B5262"/>
    <w:rsid w:val="001B572F"/>
    <w:rsid w:val="001B662B"/>
    <w:rsid w:val="001B69B0"/>
    <w:rsid w:val="001B70F1"/>
    <w:rsid w:val="001B73C9"/>
    <w:rsid w:val="001C1657"/>
    <w:rsid w:val="001C1A9C"/>
    <w:rsid w:val="001C1E1F"/>
    <w:rsid w:val="001C2684"/>
    <w:rsid w:val="001C278E"/>
    <w:rsid w:val="001C3439"/>
    <w:rsid w:val="001C386E"/>
    <w:rsid w:val="001C3E83"/>
    <w:rsid w:val="001C413B"/>
    <w:rsid w:val="001C5299"/>
    <w:rsid w:val="001C53E5"/>
    <w:rsid w:val="001C7CDE"/>
    <w:rsid w:val="001C7FEA"/>
    <w:rsid w:val="001D035D"/>
    <w:rsid w:val="001D0A19"/>
    <w:rsid w:val="001D0E90"/>
    <w:rsid w:val="001D1305"/>
    <w:rsid w:val="001D2FD0"/>
    <w:rsid w:val="001D38AA"/>
    <w:rsid w:val="001D3AB5"/>
    <w:rsid w:val="001D581F"/>
    <w:rsid w:val="001D7597"/>
    <w:rsid w:val="001D7BBA"/>
    <w:rsid w:val="001D7E14"/>
    <w:rsid w:val="001E045F"/>
    <w:rsid w:val="001E04CF"/>
    <w:rsid w:val="001E0565"/>
    <w:rsid w:val="001E0CDA"/>
    <w:rsid w:val="001E1AFB"/>
    <w:rsid w:val="001E275F"/>
    <w:rsid w:val="001E28BC"/>
    <w:rsid w:val="001E3183"/>
    <w:rsid w:val="001E4369"/>
    <w:rsid w:val="001E5541"/>
    <w:rsid w:val="001E6785"/>
    <w:rsid w:val="001E683C"/>
    <w:rsid w:val="001E6BA1"/>
    <w:rsid w:val="001F02CF"/>
    <w:rsid w:val="001F1C3F"/>
    <w:rsid w:val="001F1EAD"/>
    <w:rsid w:val="001F1EEC"/>
    <w:rsid w:val="001F277D"/>
    <w:rsid w:val="001F2D2D"/>
    <w:rsid w:val="001F31FA"/>
    <w:rsid w:val="001F32B3"/>
    <w:rsid w:val="001F386A"/>
    <w:rsid w:val="001F3886"/>
    <w:rsid w:val="001F3EB2"/>
    <w:rsid w:val="001F414C"/>
    <w:rsid w:val="001F4963"/>
    <w:rsid w:val="001F4D2C"/>
    <w:rsid w:val="001F617B"/>
    <w:rsid w:val="001F655A"/>
    <w:rsid w:val="001F70DA"/>
    <w:rsid w:val="001F7A4C"/>
    <w:rsid w:val="00200130"/>
    <w:rsid w:val="00200DDE"/>
    <w:rsid w:val="002013BE"/>
    <w:rsid w:val="00201A71"/>
    <w:rsid w:val="00201D1B"/>
    <w:rsid w:val="00201EA7"/>
    <w:rsid w:val="00202093"/>
    <w:rsid w:val="00203041"/>
    <w:rsid w:val="00203A9D"/>
    <w:rsid w:val="00203C24"/>
    <w:rsid w:val="002049D3"/>
    <w:rsid w:val="00204F11"/>
    <w:rsid w:val="0020502C"/>
    <w:rsid w:val="00205736"/>
    <w:rsid w:val="00206009"/>
    <w:rsid w:val="0020632F"/>
    <w:rsid w:val="002064CD"/>
    <w:rsid w:val="00207057"/>
    <w:rsid w:val="0020759B"/>
    <w:rsid w:val="00207C03"/>
    <w:rsid w:val="002104F4"/>
    <w:rsid w:val="00210B42"/>
    <w:rsid w:val="00210F68"/>
    <w:rsid w:val="0021270E"/>
    <w:rsid w:val="00215060"/>
    <w:rsid w:val="0021522C"/>
    <w:rsid w:val="00215B4E"/>
    <w:rsid w:val="00215EAC"/>
    <w:rsid w:val="0021618B"/>
    <w:rsid w:val="00216CFB"/>
    <w:rsid w:val="00217F7D"/>
    <w:rsid w:val="00220B82"/>
    <w:rsid w:val="00220F94"/>
    <w:rsid w:val="002211BC"/>
    <w:rsid w:val="002226AF"/>
    <w:rsid w:val="002228D1"/>
    <w:rsid w:val="002228F5"/>
    <w:rsid w:val="0022327A"/>
    <w:rsid w:val="0022401E"/>
    <w:rsid w:val="00224133"/>
    <w:rsid w:val="00224429"/>
    <w:rsid w:val="002248DE"/>
    <w:rsid w:val="00224F9C"/>
    <w:rsid w:val="00225811"/>
    <w:rsid w:val="0022762C"/>
    <w:rsid w:val="002302DB"/>
    <w:rsid w:val="00230535"/>
    <w:rsid w:val="00230BB9"/>
    <w:rsid w:val="002314DB"/>
    <w:rsid w:val="00232231"/>
    <w:rsid w:val="00232A21"/>
    <w:rsid w:val="00232C90"/>
    <w:rsid w:val="00233227"/>
    <w:rsid w:val="002334D6"/>
    <w:rsid w:val="00234529"/>
    <w:rsid w:val="00234705"/>
    <w:rsid w:val="00234C6C"/>
    <w:rsid w:val="002366AA"/>
    <w:rsid w:val="00236850"/>
    <w:rsid w:val="00237430"/>
    <w:rsid w:val="002400E0"/>
    <w:rsid w:val="00240131"/>
    <w:rsid w:val="00240596"/>
    <w:rsid w:val="0024138C"/>
    <w:rsid w:val="002420C6"/>
    <w:rsid w:val="0024330F"/>
    <w:rsid w:val="002438BA"/>
    <w:rsid w:val="00244121"/>
    <w:rsid w:val="00244264"/>
    <w:rsid w:val="00244415"/>
    <w:rsid w:val="00244600"/>
    <w:rsid w:val="0024473E"/>
    <w:rsid w:val="00244F9B"/>
    <w:rsid w:val="00245DAA"/>
    <w:rsid w:val="00246AA5"/>
    <w:rsid w:val="00246D4F"/>
    <w:rsid w:val="00247909"/>
    <w:rsid w:val="00247EFB"/>
    <w:rsid w:val="002509E3"/>
    <w:rsid w:val="00251351"/>
    <w:rsid w:val="00251DC7"/>
    <w:rsid w:val="002522C4"/>
    <w:rsid w:val="002536B3"/>
    <w:rsid w:val="002543E8"/>
    <w:rsid w:val="00254D36"/>
    <w:rsid w:val="00254F6B"/>
    <w:rsid w:val="002551D4"/>
    <w:rsid w:val="00255EF0"/>
    <w:rsid w:val="00256C9B"/>
    <w:rsid w:val="00260F9D"/>
    <w:rsid w:val="00262A92"/>
    <w:rsid w:val="00262CF6"/>
    <w:rsid w:val="002636EC"/>
    <w:rsid w:val="00264387"/>
    <w:rsid w:val="002644DF"/>
    <w:rsid w:val="002659F4"/>
    <w:rsid w:val="00265B92"/>
    <w:rsid w:val="00265BA2"/>
    <w:rsid w:val="00266EBB"/>
    <w:rsid w:val="00267329"/>
    <w:rsid w:val="00267833"/>
    <w:rsid w:val="002700D2"/>
    <w:rsid w:val="0027046B"/>
    <w:rsid w:val="002705FC"/>
    <w:rsid w:val="00270E13"/>
    <w:rsid w:val="002717BE"/>
    <w:rsid w:val="00271893"/>
    <w:rsid w:val="00271986"/>
    <w:rsid w:val="00272C8A"/>
    <w:rsid w:val="00272F3E"/>
    <w:rsid w:val="002730AC"/>
    <w:rsid w:val="00274766"/>
    <w:rsid w:val="0027556F"/>
    <w:rsid w:val="00276415"/>
    <w:rsid w:val="00276471"/>
    <w:rsid w:val="002766C2"/>
    <w:rsid w:val="00276916"/>
    <w:rsid w:val="00276FE6"/>
    <w:rsid w:val="002773B4"/>
    <w:rsid w:val="0027780F"/>
    <w:rsid w:val="0027784E"/>
    <w:rsid w:val="00277C15"/>
    <w:rsid w:val="0028017E"/>
    <w:rsid w:val="00280AE2"/>
    <w:rsid w:val="00281982"/>
    <w:rsid w:val="0028204F"/>
    <w:rsid w:val="00282BC7"/>
    <w:rsid w:val="00283BED"/>
    <w:rsid w:val="00284770"/>
    <w:rsid w:val="002866E7"/>
    <w:rsid w:val="00286C45"/>
    <w:rsid w:val="00287065"/>
    <w:rsid w:val="002900CA"/>
    <w:rsid w:val="002900EB"/>
    <w:rsid w:val="00290F15"/>
    <w:rsid w:val="00292090"/>
    <w:rsid w:val="002920EE"/>
    <w:rsid w:val="002922DB"/>
    <w:rsid w:val="00293AAA"/>
    <w:rsid w:val="00293BBD"/>
    <w:rsid w:val="00293CEB"/>
    <w:rsid w:val="0029432E"/>
    <w:rsid w:val="0029499F"/>
    <w:rsid w:val="00295789"/>
    <w:rsid w:val="00295AFA"/>
    <w:rsid w:val="00295E6E"/>
    <w:rsid w:val="002962D9"/>
    <w:rsid w:val="0029675C"/>
    <w:rsid w:val="0029797B"/>
    <w:rsid w:val="00297F14"/>
    <w:rsid w:val="002A01E1"/>
    <w:rsid w:val="002A0791"/>
    <w:rsid w:val="002A2235"/>
    <w:rsid w:val="002A2250"/>
    <w:rsid w:val="002A2D67"/>
    <w:rsid w:val="002A30EB"/>
    <w:rsid w:val="002A31DD"/>
    <w:rsid w:val="002A3487"/>
    <w:rsid w:val="002A3753"/>
    <w:rsid w:val="002A4225"/>
    <w:rsid w:val="002A43F0"/>
    <w:rsid w:val="002A449F"/>
    <w:rsid w:val="002A4D23"/>
    <w:rsid w:val="002A50E3"/>
    <w:rsid w:val="002A5151"/>
    <w:rsid w:val="002A539C"/>
    <w:rsid w:val="002A587A"/>
    <w:rsid w:val="002A5AC2"/>
    <w:rsid w:val="002A6C34"/>
    <w:rsid w:val="002A721E"/>
    <w:rsid w:val="002A74E7"/>
    <w:rsid w:val="002A7B52"/>
    <w:rsid w:val="002B04E5"/>
    <w:rsid w:val="002B0788"/>
    <w:rsid w:val="002B1AD1"/>
    <w:rsid w:val="002B1D5E"/>
    <w:rsid w:val="002B2976"/>
    <w:rsid w:val="002B2C06"/>
    <w:rsid w:val="002B30F6"/>
    <w:rsid w:val="002B38BA"/>
    <w:rsid w:val="002B433C"/>
    <w:rsid w:val="002B4667"/>
    <w:rsid w:val="002B5C2C"/>
    <w:rsid w:val="002B6319"/>
    <w:rsid w:val="002B6944"/>
    <w:rsid w:val="002B732D"/>
    <w:rsid w:val="002B77BC"/>
    <w:rsid w:val="002C09D8"/>
    <w:rsid w:val="002C101F"/>
    <w:rsid w:val="002C1D5D"/>
    <w:rsid w:val="002C265E"/>
    <w:rsid w:val="002C2E66"/>
    <w:rsid w:val="002C47D2"/>
    <w:rsid w:val="002C4A42"/>
    <w:rsid w:val="002C542E"/>
    <w:rsid w:val="002C5DEC"/>
    <w:rsid w:val="002C6413"/>
    <w:rsid w:val="002C6FFC"/>
    <w:rsid w:val="002C7CB5"/>
    <w:rsid w:val="002C7CD7"/>
    <w:rsid w:val="002C7D5B"/>
    <w:rsid w:val="002D0A25"/>
    <w:rsid w:val="002D1034"/>
    <w:rsid w:val="002D16DB"/>
    <w:rsid w:val="002D3871"/>
    <w:rsid w:val="002D4456"/>
    <w:rsid w:val="002D481E"/>
    <w:rsid w:val="002D584B"/>
    <w:rsid w:val="002D6444"/>
    <w:rsid w:val="002D650A"/>
    <w:rsid w:val="002D7463"/>
    <w:rsid w:val="002D78D6"/>
    <w:rsid w:val="002E10D0"/>
    <w:rsid w:val="002E29F2"/>
    <w:rsid w:val="002E308E"/>
    <w:rsid w:val="002E3577"/>
    <w:rsid w:val="002E3C76"/>
    <w:rsid w:val="002E491C"/>
    <w:rsid w:val="002E4F7A"/>
    <w:rsid w:val="002E655B"/>
    <w:rsid w:val="002F03CB"/>
    <w:rsid w:val="002F0425"/>
    <w:rsid w:val="002F1560"/>
    <w:rsid w:val="002F240D"/>
    <w:rsid w:val="002F46E7"/>
    <w:rsid w:val="002F4E2D"/>
    <w:rsid w:val="002F5BEB"/>
    <w:rsid w:val="002F5C30"/>
    <w:rsid w:val="002F6D60"/>
    <w:rsid w:val="002F70E5"/>
    <w:rsid w:val="002F733B"/>
    <w:rsid w:val="002F763B"/>
    <w:rsid w:val="002F7A1B"/>
    <w:rsid w:val="002F7FB6"/>
    <w:rsid w:val="003009B6"/>
    <w:rsid w:val="00300BC3"/>
    <w:rsid w:val="003026F8"/>
    <w:rsid w:val="003030AC"/>
    <w:rsid w:val="003039C6"/>
    <w:rsid w:val="00303EF2"/>
    <w:rsid w:val="0030453C"/>
    <w:rsid w:val="00304E87"/>
    <w:rsid w:val="00305BB6"/>
    <w:rsid w:val="0030698B"/>
    <w:rsid w:val="00310039"/>
    <w:rsid w:val="00310F1C"/>
    <w:rsid w:val="00311789"/>
    <w:rsid w:val="00312666"/>
    <w:rsid w:val="00312C74"/>
    <w:rsid w:val="00313363"/>
    <w:rsid w:val="00313A13"/>
    <w:rsid w:val="0031426F"/>
    <w:rsid w:val="00314E1D"/>
    <w:rsid w:val="003154D3"/>
    <w:rsid w:val="00315A71"/>
    <w:rsid w:val="00315EEB"/>
    <w:rsid w:val="00315F74"/>
    <w:rsid w:val="00316D1A"/>
    <w:rsid w:val="00317000"/>
    <w:rsid w:val="0031707C"/>
    <w:rsid w:val="00317451"/>
    <w:rsid w:val="00317C1A"/>
    <w:rsid w:val="00320337"/>
    <w:rsid w:val="00320368"/>
    <w:rsid w:val="0032217B"/>
    <w:rsid w:val="003223A5"/>
    <w:rsid w:val="003236A7"/>
    <w:rsid w:val="00323B74"/>
    <w:rsid w:val="003241E6"/>
    <w:rsid w:val="00324743"/>
    <w:rsid w:val="0032484B"/>
    <w:rsid w:val="003249F0"/>
    <w:rsid w:val="00324DCC"/>
    <w:rsid w:val="00324FA0"/>
    <w:rsid w:val="00325329"/>
    <w:rsid w:val="0032587F"/>
    <w:rsid w:val="00325F61"/>
    <w:rsid w:val="00326D58"/>
    <w:rsid w:val="003271FE"/>
    <w:rsid w:val="00327783"/>
    <w:rsid w:val="003279CC"/>
    <w:rsid w:val="003300AA"/>
    <w:rsid w:val="00330CE1"/>
    <w:rsid w:val="003315C9"/>
    <w:rsid w:val="0033164E"/>
    <w:rsid w:val="00332BC9"/>
    <w:rsid w:val="00333824"/>
    <w:rsid w:val="0033390C"/>
    <w:rsid w:val="00334EE6"/>
    <w:rsid w:val="00335E05"/>
    <w:rsid w:val="00336A88"/>
    <w:rsid w:val="00336AFD"/>
    <w:rsid w:val="00336D6B"/>
    <w:rsid w:val="003374DC"/>
    <w:rsid w:val="0034008F"/>
    <w:rsid w:val="00340288"/>
    <w:rsid w:val="003403FC"/>
    <w:rsid w:val="00340691"/>
    <w:rsid w:val="003406E0"/>
    <w:rsid w:val="00340D27"/>
    <w:rsid w:val="00340E0E"/>
    <w:rsid w:val="003427BC"/>
    <w:rsid w:val="0034287A"/>
    <w:rsid w:val="003428D9"/>
    <w:rsid w:val="00343BC6"/>
    <w:rsid w:val="00343D48"/>
    <w:rsid w:val="00344730"/>
    <w:rsid w:val="00344CA2"/>
    <w:rsid w:val="00344F00"/>
    <w:rsid w:val="00345B4A"/>
    <w:rsid w:val="00346104"/>
    <w:rsid w:val="00346366"/>
    <w:rsid w:val="00346B78"/>
    <w:rsid w:val="003470C7"/>
    <w:rsid w:val="00347100"/>
    <w:rsid w:val="00350AFB"/>
    <w:rsid w:val="00351293"/>
    <w:rsid w:val="00351470"/>
    <w:rsid w:val="00352C6D"/>
    <w:rsid w:val="00353197"/>
    <w:rsid w:val="00353406"/>
    <w:rsid w:val="003556F1"/>
    <w:rsid w:val="00355A9B"/>
    <w:rsid w:val="00356C61"/>
    <w:rsid w:val="0035721A"/>
    <w:rsid w:val="00357769"/>
    <w:rsid w:val="0036012F"/>
    <w:rsid w:val="00360761"/>
    <w:rsid w:val="00360D98"/>
    <w:rsid w:val="00361006"/>
    <w:rsid w:val="0036120C"/>
    <w:rsid w:val="00361478"/>
    <w:rsid w:val="00361A25"/>
    <w:rsid w:val="00363D66"/>
    <w:rsid w:val="00364E65"/>
    <w:rsid w:val="00365280"/>
    <w:rsid w:val="0036580D"/>
    <w:rsid w:val="00366A2C"/>
    <w:rsid w:val="003671E6"/>
    <w:rsid w:val="00367962"/>
    <w:rsid w:val="0037055E"/>
    <w:rsid w:val="00370629"/>
    <w:rsid w:val="00371E7A"/>
    <w:rsid w:val="003729CF"/>
    <w:rsid w:val="003730B0"/>
    <w:rsid w:val="00373CB8"/>
    <w:rsid w:val="00373CC5"/>
    <w:rsid w:val="00376F5D"/>
    <w:rsid w:val="003770ED"/>
    <w:rsid w:val="00377370"/>
    <w:rsid w:val="003775AD"/>
    <w:rsid w:val="00377621"/>
    <w:rsid w:val="003778F2"/>
    <w:rsid w:val="003800CC"/>
    <w:rsid w:val="00380901"/>
    <w:rsid w:val="003809F8"/>
    <w:rsid w:val="00381093"/>
    <w:rsid w:val="0038128C"/>
    <w:rsid w:val="003827BA"/>
    <w:rsid w:val="003827C0"/>
    <w:rsid w:val="0038286D"/>
    <w:rsid w:val="00383222"/>
    <w:rsid w:val="00383C1A"/>
    <w:rsid w:val="00383D04"/>
    <w:rsid w:val="00384866"/>
    <w:rsid w:val="00384F9C"/>
    <w:rsid w:val="00385226"/>
    <w:rsid w:val="00385580"/>
    <w:rsid w:val="00385D25"/>
    <w:rsid w:val="00386E59"/>
    <w:rsid w:val="00390147"/>
    <w:rsid w:val="003908B5"/>
    <w:rsid w:val="00390C17"/>
    <w:rsid w:val="00391A97"/>
    <w:rsid w:val="00391BA5"/>
    <w:rsid w:val="00392306"/>
    <w:rsid w:val="003924C7"/>
    <w:rsid w:val="00392920"/>
    <w:rsid w:val="00394372"/>
    <w:rsid w:val="00395BCE"/>
    <w:rsid w:val="003963D6"/>
    <w:rsid w:val="00396484"/>
    <w:rsid w:val="003965C8"/>
    <w:rsid w:val="003967CB"/>
    <w:rsid w:val="00396F81"/>
    <w:rsid w:val="00397253"/>
    <w:rsid w:val="0039738E"/>
    <w:rsid w:val="00397B60"/>
    <w:rsid w:val="003A0BBA"/>
    <w:rsid w:val="003A1506"/>
    <w:rsid w:val="003A1ACB"/>
    <w:rsid w:val="003A1D1E"/>
    <w:rsid w:val="003A1FEC"/>
    <w:rsid w:val="003A27C9"/>
    <w:rsid w:val="003A34CF"/>
    <w:rsid w:val="003A37F2"/>
    <w:rsid w:val="003A392B"/>
    <w:rsid w:val="003A3992"/>
    <w:rsid w:val="003A3E62"/>
    <w:rsid w:val="003A48E4"/>
    <w:rsid w:val="003A5579"/>
    <w:rsid w:val="003A567C"/>
    <w:rsid w:val="003A6C37"/>
    <w:rsid w:val="003B0494"/>
    <w:rsid w:val="003B1A9B"/>
    <w:rsid w:val="003B21C5"/>
    <w:rsid w:val="003B2899"/>
    <w:rsid w:val="003B300D"/>
    <w:rsid w:val="003B3CE1"/>
    <w:rsid w:val="003B42C5"/>
    <w:rsid w:val="003B520D"/>
    <w:rsid w:val="003B5E1C"/>
    <w:rsid w:val="003B648B"/>
    <w:rsid w:val="003B74F5"/>
    <w:rsid w:val="003C0353"/>
    <w:rsid w:val="003C0595"/>
    <w:rsid w:val="003C07BC"/>
    <w:rsid w:val="003C2797"/>
    <w:rsid w:val="003C34B6"/>
    <w:rsid w:val="003C34EA"/>
    <w:rsid w:val="003C496A"/>
    <w:rsid w:val="003C5CA7"/>
    <w:rsid w:val="003C68B7"/>
    <w:rsid w:val="003C6F7E"/>
    <w:rsid w:val="003D121C"/>
    <w:rsid w:val="003D1279"/>
    <w:rsid w:val="003D1351"/>
    <w:rsid w:val="003D1786"/>
    <w:rsid w:val="003D209B"/>
    <w:rsid w:val="003D2365"/>
    <w:rsid w:val="003D2FAC"/>
    <w:rsid w:val="003D3F4D"/>
    <w:rsid w:val="003D593A"/>
    <w:rsid w:val="003D6355"/>
    <w:rsid w:val="003D771A"/>
    <w:rsid w:val="003E0DE4"/>
    <w:rsid w:val="003E19EA"/>
    <w:rsid w:val="003E2342"/>
    <w:rsid w:val="003E2D85"/>
    <w:rsid w:val="003E3096"/>
    <w:rsid w:val="003E31C6"/>
    <w:rsid w:val="003E48CF"/>
    <w:rsid w:val="003E4DA3"/>
    <w:rsid w:val="003E5221"/>
    <w:rsid w:val="003E615C"/>
    <w:rsid w:val="003E6856"/>
    <w:rsid w:val="003E6B3A"/>
    <w:rsid w:val="003E74C1"/>
    <w:rsid w:val="003E7AAA"/>
    <w:rsid w:val="003E7EE1"/>
    <w:rsid w:val="003F224C"/>
    <w:rsid w:val="003F2E23"/>
    <w:rsid w:val="003F33AB"/>
    <w:rsid w:val="003F4333"/>
    <w:rsid w:val="003F458F"/>
    <w:rsid w:val="003F4785"/>
    <w:rsid w:val="003F5625"/>
    <w:rsid w:val="003F56C2"/>
    <w:rsid w:val="003F575A"/>
    <w:rsid w:val="003F5B3E"/>
    <w:rsid w:val="003F6206"/>
    <w:rsid w:val="003F653F"/>
    <w:rsid w:val="003F69F1"/>
    <w:rsid w:val="003F6EA3"/>
    <w:rsid w:val="003F768D"/>
    <w:rsid w:val="003F78D5"/>
    <w:rsid w:val="00400574"/>
    <w:rsid w:val="00401019"/>
    <w:rsid w:val="004014D6"/>
    <w:rsid w:val="00402723"/>
    <w:rsid w:val="004028CA"/>
    <w:rsid w:val="004029ED"/>
    <w:rsid w:val="00402C74"/>
    <w:rsid w:val="0040300C"/>
    <w:rsid w:val="0040350B"/>
    <w:rsid w:val="0040378C"/>
    <w:rsid w:val="00404B27"/>
    <w:rsid w:val="00405E0E"/>
    <w:rsid w:val="0040633F"/>
    <w:rsid w:val="004065E6"/>
    <w:rsid w:val="00406E9D"/>
    <w:rsid w:val="004076B4"/>
    <w:rsid w:val="00407952"/>
    <w:rsid w:val="00407BD8"/>
    <w:rsid w:val="00407C43"/>
    <w:rsid w:val="0041052F"/>
    <w:rsid w:val="00411A75"/>
    <w:rsid w:val="00411E9B"/>
    <w:rsid w:val="004120C4"/>
    <w:rsid w:val="0041297E"/>
    <w:rsid w:val="00412D31"/>
    <w:rsid w:val="00413AE4"/>
    <w:rsid w:val="004141B2"/>
    <w:rsid w:val="004142A0"/>
    <w:rsid w:val="00414D1D"/>
    <w:rsid w:val="0041507F"/>
    <w:rsid w:val="004156F1"/>
    <w:rsid w:val="00415ABA"/>
    <w:rsid w:val="0041634F"/>
    <w:rsid w:val="00416E0C"/>
    <w:rsid w:val="00417919"/>
    <w:rsid w:val="004203F1"/>
    <w:rsid w:val="004217DF"/>
    <w:rsid w:val="004220A4"/>
    <w:rsid w:val="004235F7"/>
    <w:rsid w:val="00424167"/>
    <w:rsid w:val="00424741"/>
    <w:rsid w:val="0042495A"/>
    <w:rsid w:val="004263C3"/>
    <w:rsid w:val="00427236"/>
    <w:rsid w:val="004274CD"/>
    <w:rsid w:val="00430BEC"/>
    <w:rsid w:val="00430EB2"/>
    <w:rsid w:val="004312D0"/>
    <w:rsid w:val="00431D25"/>
    <w:rsid w:val="0043419B"/>
    <w:rsid w:val="004345F3"/>
    <w:rsid w:val="00435793"/>
    <w:rsid w:val="00436277"/>
    <w:rsid w:val="00436409"/>
    <w:rsid w:val="00436AF0"/>
    <w:rsid w:val="00437590"/>
    <w:rsid w:val="004402DF"/>
    <w:rsid w:val="00440BA2"/>
    <w:rsid w:val="00441250"/>
    <w:rsid w:val="004413C8"/>
    <w:rsid w:val="004416C4"/>
    <w:rsid w:val="004428CD"/>
    <w:rsid w:val="00442A7E"/>
    <w:rsid w:val="00442FFA"/>
    <w:rsid w:val="00444250"/>
    <w:rsid w:val="00444531"/>
    <w:rsid w:val="0044454E"/>
    <w:rsid w:val="00444B7E"/>
    <w:rsid w:val="00444DFB"/>
    <w:rsid w:val="00445880"/>
    <w:rsid w:val="00446780"/>
    <w:rsid w:val="004469F0"/>
    <w:rsid w:val="00446F1D"/>
    <w:rsid w:val="00447502"/>
    <w:rsid w:val="0044795E"/>
    <w:rsid w:val="00447A32"/>
    <w:rsid w:val="00447C0E"/>
    <w:rsid w:val="00447FEA"/>
    <w:rsid w:val="0045044F"/>
    <w:rsid w:val="00450E9C"/>
    <w:rsid w:val="0045106F"/>
    <w:rsid w:val="00451ED0"/>
    <w:rsid w:val="0045425B"/>
    <w:rsid w:val="00454655"/>
    <w:rsid w:val="0045535D"/>
    <w:rsid w:val="0045707D"/>
    <w:rsid w:val="0045763F"/>
    <w:rsid w:val="00457D40"/>
    <w:rsid w:val="004600C5"/>
    <w:rsid w:val="0046179D"/>
    <w:rsid w:val="004625D6"/>
    <w:rsid w:val="00462A38"/>
    <w:rsid w:val="00462B8F"/>
    <w:rsid w:val="004645DB"/>
    <w:rsid w:val="00464674"/>
    <w:rsid w:val="00464ACA"/>
    <w:rsid w:val="004650A5"/>
    <w:rsid w:val="00465921"/>
    <w:rsid w:val="00465987"/>
    <w:rsid w:val="00465C6D"/>
    <w:rsid w:val="004667F7"/>
    <w:rsid w:val="00467036"/>
    <w:rsid w:val="00467BE1"/>
    <w:rsid w:val="00467DC6"/>
    <w:rsid w:val="00467F8A"/>
    <w:rsid w:val="004708CF"/>
    <w:rsid w:val="00470B26"/>
    <w:rsid w:val="0047161A"/>
    <w:rsid w:val="0047186B"/>
    <w:rsid w:val="00471FD4"/>
    <w:rsid w:val="00472058"/>
    <w:rsid w:val="00473116"/>
    <w:rsid w:val="00474337"/>
    <w:rsid w:val="00474D00"/>
    <w:rsid w:val="004756AD"/>
    <w:rsid w:val="004756BA"/>
    <w:rsid w:val="004762AA"/>
    <w:rsid w:val="0047692D"/>
    <w:rsid w:val="00480B77"/>
    <w:rsid w:val="0048132F"/>
    <w:rsid w:val="00481F41"/>
    <w:rsid w:val="00481F8A"/>
    <w:rsid w:val="0048208F"/>
    <w:rsid w:val="004825D4"/>
    <w:rsid w:val="0048289B"/>
    <w:rsid w:val="00482ADB"/>
    <w:rsid w:val="00483607"/>
    <w:rsid w:val="0048376A"/>
    <w:rsid w:val="00483B54"/>
    <w:rsid w:val="00483B84"/>
    <w:rsid w:val="00483E88"/>
    <w:rsid w:val="00483FE7"/>
    <w:rsid w:val="00484489"/>
    <w:rsid w:val="00484701"/>
    <w:rsid w:val="0048628B"/>
    <w:rsid w:val="004863E3"/>
    <w:rsid w:val="00486C68"/>
    <w:rsid w:val="00486EF4"/>
    <w:rsid w:val="0049255C"/>
    <w:rsid w:val="00492B63"/>
    <w:rsid w:val="00493D48"/>
    <w:rsid w:val="00494041"/>
    <w:rsid w:val="00494761"/>
    <w:rsid w:val="00494C73"/>
    <w:rsid w:val="00495BD7"/>
    <w:rsid w:val="00495C7E"/>
    <w:rsid w:val="00495D6E"/>
    <w:rsid w:val="00496026"/>
    <w:rsid w:val="00496440"/>
    <w:rsid w:val="004965F1"/>
    <w:rsid w:val="00496C9D"/>
    <w:rsid w:val="004975CF"/>
    <w:rsid w:val="004A104F"/>
    <w:rsid w:val="004A1754"/>
    <w:rsid w:val="004A1935"/>
    <w:rsid w:val="004A21B6"/>
    <w:rsid w:val="004A2E01"/>
    <w:rsid w:val="004A3414"/>
    <w:rsid w:val="004A3A96"/>
    <w:rsid w:val="004A3B89"/>
    <w:rsid w:val="004A3FAF"/>
    <w:rsid w:val="004A4781"/>
    <w:rsid w:val="004A5308"/>
    <w:rsid w:val="004A53FD"/>
    <w:rsid w:val="004A5B89"/>
    <w:rsid w:val="004A5E4B"/>
    <w:rsid w:val="004A605F"/>
    <w:rsid w:val="004A629C"/>
    <w:rsid w:val="004A77AB"/>
    <w:rsid w:val="004A7FE4"/>
    <w:rsid w:val="004B0811"/>
    <w:rsid w:val="004B0B18"/>
    <w:rsid w:val="004B11BF"/>
    <w:rsid w:val="004B355D"/>
    <w:rsid w:val="004B3C89"/>
    <w:rsid w:val="004B4403"/>
    <w:rsid w:val="004B4A8B"/>
    <w:rsid w:val="004B5942"/>
    <w:rsid w:val="004B7C4C"/>
    <w:rsid w:val="004C0408"/>
    <w:rsid w:val="004C05FF"/>
    <w:rsid w:val="004C0BC5"/>
    <w:rsid w:val="004C247D"/>
    <w:rsid w:val="004C2E97"/>
    <w:rsid w:val="004C3FCD"/>
    <w:rsid w:val="004C5225"/>
    <w:rsid w:val="004C53F1"/>
    <w:rsid w:val="004C5584"/>
    <w:rsid w:val="004C6CA1"/>
    <w:rsid w:val="004C78F6"/>
    <w:rsid w:val="004D13C3"/>
    <w:rsid w:val="004D21E4"/>
    <w:rsid w:val="004D25D6"/>
    <w:rsid w:val="004D2839"/>
    <w:rsid w:val="004D3E88"/>
    <w:rsid w:val="004D68F3"/>
    <w:rsid w:val="004D6F16"/>
    <w:rsid w:val="004D796F"/>
    <w:rsid w:val="004E04B9"/>
    <w:rsid w:val="004E05CE"/>
    <w:rsid w:val="004E0DC0"/>
    <w:rsid w:val="004E1130"/>
    <w:rsid w:val="004E127D"/>
    <w:rsid w:val="004E137E"/>
    <w:rsid w:val="004E3668"/>
    <w:rsid w:val="004E389B"/>
    <w:rsid w:val="004E3AD3"/>
    <w:rsid w:val="004E3B4C"/>
    <w:rsid w:val="004E597E"/>
    <w:rsid w:val="004E623F"/>
    <w:rsid w:val="004E661A"/>
    <w:rsid w:val="004E6665"/>
    <w:rsid w:val="004E67B6"/>
    <w:rsid w:val="004E6C21"/>
    <w:rsid w:val="004E6E53"/>
    <w:rsid w:val="004E77FC"/>
    <w:rsid w:val="004E78C4"/>
    <w:rsid w:val="004E792D"/>
    <w:rsid w:val="004F054B"/>
    <w:rsid w:val="004F0574"/>
    <w:rsid w:val="004F06F4"/>
    <w:rsid w:val="004F083C"/>
    <w:rsid w:val="004F08BD"/>
    <w:rsid w:val="004F1677"/>
    <w:rsid w:val="004F1BC0"/>
    <w:rsid w:val="004F2939"/>
    <w:rsid w:val="004F3183"/>
    <w:rsid w:val="004F39EC"/>
    <w:rsid w:val="004F579C"/>
    <w:rsid w:val="004F589E"/>
    <w:rsid w:val="004F5E04"/>
    <w:rsid w:val="004F5F1C"/>
    <w:rsid w:val="004F6213"/>
    <w:rsid w:val="004F6ECB"/>
    <w:rsid w:val="004F753E"/>
    <w:rsid w:val="0050078E"/>
    <w:rsid w:val="00500846"/>
    <w:rsid w:val="00501697"/>
    <w:rsid w:val="00501849"/>
    <w:rsid w:val="0050308D"/>
    <w:rsid w:val="00503625"/>
    <w:rsid w:val="00503755"/>
    <w:rsid w:val="00503CD5"/>
    <w:rsid w:val="00504687"/>
    <w:rsid w:val="00505203"/>
    <w:rsid w:val="00505B7F"/>
    <w:rsid w:val="00506E33"/>
    <w:rsid w:val="00507172"/>
    <w:rsid w:val="00507642"/>
    <w:rsid w:val="00507BDE"/>
    <w:rsid w:val="00510645"/>
    <w:rsid w:val="00511CD5"/>
    <w:rsid w:val="0051223E"/>
    <w:rsid w:val="005122F5"/>
    <w:rsid w:val="00512C9E"/>
    <w:rsid w:val="00513965"/>
    <w:rsid w:val="00513D4F"/>
    <w:rsid w:val="005144F7"/>
    <w:rsid w:val="00514C9A"/>
    <w:rsid w:val="0051568E"/>
    <w:rsid w:val="00516067"/>
    <w:rsid w:val="005161BC"/>
    <w:rsid w:val="00516A49"/>
    <w:rsid w:val="0052033A"/>
    <w:rsid w:val="005206BA"/>
    <w:rsid w:val="005208F8"/>
    <w:rsid w:val="00521EA0"/>
    <w:rsid w:val="00522213"/>
    <w:rsid w:val="00523076"/>
    <w:rsid w:val="00523282"/>
    <w:rsid w:val="0052349A"/>
    <w:rsid w:val="005235B6"/>
    <w:rsid w:val="005236C6"/>
    <w:rsid w:val="00524B84"/>
    <w:rsid w:val="00524BCD"/>
    <w:rsid w:val="00524ED7"/>
    <w:rsid w:val="00525437"/>
    <w:rsid w:val="00525516"/>
    <w:rsid w:val="00525AEE"/>
    <w:rsid w:val="005264D2"/>
    <w:rsid w:val="00527AF7"/>
    <w:rsid w:val="00530A88"/>
    <w:rsid w:val="005315A2"/>
    <w:rsid w:val="00531B6E"/>
    <w:rsid w:val="00531C0F"/>
    <w:rsid w:val="00534049"/>
    <w:rsid w:val="005340B0"/>
    <w:rsid w:val="005342C3"/>
    <w:rsid w:val="00534694"/>
    <w:rsid w:val="00534BD2"/>
    <w:rsid w:val="00534DF6"/>
    <w:rsid w:val="00535327"/>
    <w:rsid w:val="00535555"/>
    <w:rsid w:val="00536582"/>
    <w:rsid w:val="0053699C"/>
    <w:rsid w:val="005377C2"/>
    <w:rsid w:val="00537F89"/>
    <w:rsid w:val="00540739"/>
    <w:rsid w:val="00542A96"/>
    <w:rsid w:val="00542F36"/>
    <w:rsid w:val="00544146"/>
    <w:rsid w:val="00545F09"/>
    <w:rsid w:val="00546BC2"/>
    <w:rsid w:val="00547B7C"/>
    <w:rsid w:val="00550837"/>
    <w:rsid w:val="00551A16"/>
    <w:rsid w:val="0055256E"/>
    <w:rsid w:val="005545D1"/>
    <w:rsid w:val="005549DB"/>
    <w:rsid w:val="0055647C"/>
    <w:rsid w:val="00556E00"/>
    <w:rsid w:val="0055791D"/>
    <w:rsid w:val="0055792D"/>
    <w:rsid w:val="00557981"/>
    <w:rsid w:val="00557F6B"/>
    <w:rsid w:val="0056082A"/>
    <w:rsid w:val="00563435"/>
    <w:rsid w:val="00565980"/>
    <w:rsid w:val="00565C16"/>
    <w:rsid w:val="005660D6"/>
    <w:rsid w:val="00566269"/>
    <w:rsid w:val="00566539"/>
    <w:rsid w:val="00567FE3"/>
    <w:rsid w:val="00570F93"/>
    <w:rsid w:val="00571737"/>
    <w:rsid w:val="005723B9"/>
    <w:rsid w:val="00572D18"/>
    <w:rsid w:val="005731B9"/>
    <w:rsid w:val="00573801"/>
    <w:rsid w:val="00573D25"/>
    <w:rsid w:val="005764D3"/>
    <w:rsid w:val="00576CF9"/>
    <w:rsid w:val="005807B7"/>
    <w:rsid w:val="00580FA3"/>
    <w:rsid w:val="0058124E"/>
    <w:rsid w:val="005822B1"/>
    <w:rsid w:val="00582659"/>
    <w:rsid w:val="00582820"/>
    <w:rsid w:val="0058418B"/>
    <w:rsid w:val="005846C1"/>
    <w:rsid w:val="00584BFF"/>
    <w:rsid w:val="00585087"/>
    <w:rsid w:val="00585C33"/>
    <w:rsid w:val="0058667B"/>
    <w:rsid w:val="0058727C"/>
    <w:rsid w:val="005875DD"/>
    <w:rsid w:val="005879E8"/>
    <w:rsid w:val="00587FCE"/>
    <w:rsid w:val="005900B9"/>
    <w:rsid w:val="005903A0"/>
    <w:rsid w:val="00590F54"/>
    <w:rsid w:val="00590FEB"/>
    <w:rsid w:val="00591D2F"/>
    <w:rsid w:val="00592614"/>
    <w:rsid w:val="00592BEC"/>
    <w:rsid w:val="00592FF6"/>
    <w:rsid w:val="00593288"/>
    <w:rsid w:val="0059330F"/>
    <w:rsid w:val="005942E4"/>
    <w:rsid w:val="005957C1"/>
    <w:rsid w:val="0059697F"/>
    <w:rsid w:val="00596A73"/>
    <w:rsid w:val="00596A7E"/>
    <w:rsid w:val="00596EA7"/>
    <w:rsid w:val="00597BE5"/>
    <w:rsid w:val="005A06CA"/>
    <w:rsid w:val="005A09B8"/>
    <w:rsid w:val="005A0B35"/>
    <w:rsid w:val="005A20BD"/>
    <w:rsid w:val="005A231D"/>
    <w:rsid w:val="005A23B1"/>
    <w:rsid w:val="005A28D9"/>
    <w:rsid w:val="005A41F8"/>
    <w:rsid w:val="005A4C7F"/>
    <w:rsid w:val="005A4F82"/>
    <w:rsid w:val="005A5179"/>
    <w:rsid w:val="005A563E"/>
    <w:rsid w:val="005A6198"/>
    <w:rsid w:val="005A628B"/>
    <w:rsid w:val="005A62CE"/>
    <w:rsid w:val="005A6314"/>
    <w:rsid w:val="005A6F74"/>
    <w:rsid w:val="005A79D9"/>
    <w:rsid w:val="005B08E6"/>
    <w:rsid w:val="005B0921"/>
    <w:rsid w:val="005B2925"/>
    <w:rsid w:val="005B2C6A"/>
    <w:rsid w:val="005B389E"/>
    <w:rsid w:val="005B3D98"/>
    <w:rsid w:val="005B40A8"/>
    <w:rsid w:val="005B4402"/>
    <w:rsid w:val="005B4838"/>
    <w:rsid w:val="005B49B1"/>
    <w:rsid w:val="005B4E6B"/>
    <w:rsid w:val="005B5261"/>
    <w:rsid w:val="005B5C1D"/>
    <w:rsid w:val="005B6ABF"/>
    <w:rsid w:val="005C0AED"/>
    <w:rsid w:val="005C0EA8"/>
    <w:rsid w:val="005C197F"/>
    <w:rsid w:val="005C218F"/>
    <w:rsid w:val="005C39B0"/>
    <w:rsid w:val="005C3A9A"/>
    <w:rsid w:val="005C44E2"/>
    <w:rsid w:val="005C4AD9"/>
    <w:rsid w:val="005C516C"/>
    <w:rsid w:val="005C52F9"/>
    <w:rsid w:val="005C68B5"/>
    <w:rsid w:val="005C6BB1"/>
    <w:rsid w:val="005C6DD0"/>
    <w:rsid w:val="005C76FE"/>
    <w:rsid w:val="005C7C58"/>
    <w:rsid w:val="005D0854"/>
    <w:rsid w:val="005D0EF3"/>
    <w:rsid w:val="005D1278"/>
    <w:rsid w:val="005D1351"/>
    <w:rsid w:val="005D28D6"/>
    <w:rsid w:val="005D2F10"/>
    <w:rsid w:val="005D3526"/>
    <w:rsid w:val="005D36A1"/>
    <w:rsid w:val="005D3904"/>
    <w:rsid w:val="005D40E2"/>
    <w:rsid w:val="005D4D4F"/>
    <w:rsid w:val="005D5071"/>
    <w:rsid w:val="005D53AB"/>
    <w:rsid w:val="005D55C1"/>
    <w:rsid w:val="005D57C3"/>
    <w:rsid w:val="005D791F"/>
    <w:rsid w:val="005E015A"/>
    <w:rsid w:val="005E06C2"/>
    <w:rsid w:val="005E0E4C"/>
    <w:rsid w:val="005E18F6"/>
    <w:rsid w:val="005E2386"/>
    <w:rsid w:val="005E2981"/>
    <w:rsid w:val="005E2FBE"/>
    <w:rsid w:val="005E37C6"/>
    <w:rsid w:val="005E37CF"/>
    <w:rsid w:val="005E3B42"/>
    <w:rsid w:val="005E4B8E"/>
    <w:rsid w:val="005E55A2"/>
    <w:rsid w:val="005E727A"/>
    <w:rsid w:val="005E7851"/>
    <w:rsid w:val="005E78C1"/>
    <w:rsid w:val="005E7A07"/>
    <w:rsid w:val="005E7A2F"/>
    <w:rsid w:val="005F0614"/>
    <w:rsid w:val="005F063D"/>
    <w:rsid w:val="005F0AD6"/>
    <w:rsid w:val="005F11EC"/>
    <w:rsid w:val="005F175A"/>
    <w:rsid w:val="005F17CD"/>
    <w:rsid w:val="005F1E13"/>
    <w:rsid w:val="005F1FCB"/>
    <w:rsid w:val="005F2FB2"/>
    <w:rsid w:val="005F3531"/>
    <w:rsid w:val="005F390B"/>
    <w:rsid w:val="005F3E7A"/>
    <w:rsid w:val="005F43E8"/>
    <w:rsid w:val="005F61F9"/>
    <w:rsid w:val="005F6248"/>
    <w:rsid w:val="005F66BC"/>
    <w:rsid w:val="005F69FC"/>
    <w:rsid w:val="005F6ECC"/>
    <w:rsid w:val="005F74AA"/>
    <w:rsid w:val="005F76DC"/>
    <w:rsid w:val="00601143"/>
    <w:rsid w:val="00601340"/>
    <w:rsid w:val="0060223F"/>
    <w:rsid w:val="0060352C"/>
    <w:rsid w:val="00604742"/>
    <w:rsid w:val="0060479A"/>
    <w:rsid w:val="006051CA"/>
    <w:rsid w:val="006054D4"/>
    <w:rsid w:val="006055AE"/>
    <w:rsid w:val="00606C80"/>
    <w:rsid w:val="006073D8"/>
    <w:rsid w:val="0061062E"/>
    <w:rsid w:val="00610ED9"/>
    <w:rsid w:val="0061125B"/>
    <w:rsid w:val="00612619"/>
    <w:rsid w:val="00612862"/>
    <w:rsid w:val="00612DF4"/>
    <w:rsid w:val="0061330F"/>
    <w:rsid w:val="006137BF"/>
    <w:rsid w:val="0061382C"/>
    <w:rsid w:val="006140E2"/>
    <w:rsid w:val="00614B0F"/>
    <w:rsid w:val="00615DC1"/>
    <w:rsid w:val="00616225"/>
    <w:rsid w:val="00616D13"/>
    <w:rsid w:val="0061725B"/>
    <w:rsid w:val="00617D82"/>
    <w:rsid w:val="0062020B"/>
    <w:rsid w:val="006202D8"/>
    <w:rsid w:val="006204B1"/>
    <w:rsid w:val="0062067B"/>
    <w:rsid w:val="00623C0F"/>
    <w:rsid w:val="00623FE2"/>
    <w:rsid w:val="00624092"/>
    <w:rsid w:val="00624EBB"/>
    <w:rsid w:val="0062505A"/>
    <w:rsid w:val="006250C0"/>
    <w:rsid w:val="00625235"/>
    <w:rsid w:val="00625469"/>
    <w:rsid w:val="00625548"/>
    <w:rsid w:val="0062632C"/>
    <w:rsid w:val="006263B3"/>
    <w:rsid w:val="006265AC"/>
    <w:rsid w:val="006274B0"/>
    <w:rsid w:val="00627D0F"/>
    <w:rsid w:val="006309CF"/>
    <w:rsid w:val="006325BE"/>
    <w:rsid w:val="00632BEA"/>
    <w:rsid w:val="006336F7"/>
    <w:rsid w:val="00633CED"/>
    <w:rsid w:val="00633D9E"/>
    <w:rsid w:val="00634ABD"/>
    <w:rsid w:val="00635622"/>
    <w:rsid w:val="00636972"/>
    <w:rsid w:val="00636C4C"/>
    <w:rsid w:val="00637FAF"/>
    <w:rsid w:val="006400D6"/>
    <w:rsid w:val="00640536"/>
    <w:rsid w:val="00640854"/>
    <w:rsid w:val="00640B96"/>
    <w:rsid w:val="0064138E"/>
    <w:rsid w:val="006416E3"/>
    <w:rsid w:val="00642581"/>
    <w:rsid w:val="0064379A"/>
    <w:rsid w:val="006439DA"/>
    <w:rsid w:val="00643BA5"/>
    <w:rsid w:val="00643D86"/>
    <w:rsid w:val="0064621B"/>
    <w:rsid w:val="00646E80"/>
    <w:rsid w:val="00646F87"/>
    <w:rsid w:val="00652044"/>
    <w:rsid w:val="00652B6A"/>
    <w:rsid w:val="00652C4D"/>
    <w:rsid w:val="00652EA7"/>
    <w:rsid w:val="0065308A"/>
    <w:rsid w:val="00653590"/>
    <w:rsid w:val="00653FC3"/>
    <w:rsid w:val="00654CB4"/>
    <w:rsid w:val="006555AB"/>
    <w:rsid w:val="00655753"/>
    <w:rsid w:val="0065663E"/>
    <w:rsid w:val="00656EBE"/>
    <w:rsid w:val="00656EF2"/>
    <w:rsid w:val="00656F22"/>
    <w:rsid w:val="00657170"/>
    <w:rsid w:val="00657FF8"/>
    <w:rsid w:val="00660008"/>
    <w:rsid w:val="00660736"/>
    <w:rsid w:val="00661024"/>
    <w:rsid w:val="00661A08"/>
    <w:rsid w:val="00661A21"/>
    <w:rsid w:val="00661CAF"/>
    <w:rsid w:val="00661DB0"/>
    <w:rsid w:val="006627EE"/>
    <w:rsid w:val="00662C9D"/>
    <w:rsid w:val="00662DBA"/>
    <w:rsid w:val="006631D0"/>
    <w:rsid w:val="006640AF"/>
    <w:rsid w:val="006644D7"/>
    <w:rsid w:val="006647CE"/>
    <w:rsid w:val="00664919"/>
    <w:rsid w:val="00665FB2"/>
    <w:rsid w:val="006669B1"/>
    <w:rsid w:val="00666D87"/>
    <w:rsid w:val="00667450"/>
    <w:rsid w:val="00667500"/>
    <w:rsid w:val="0066769F"/>
    <w:rsid w:val="0067183B"/>
    <w:rsid w:val="00671881"/>
    <w:rsid w:val="00673469"/>
    <w:rsid w:val="00673759"/>
    <w:rsid w:val="00673AF4"/>
    <w:rsid w:val="00674B9D"/>
    <w:rsid w:val="00674C68"/>
    <w:rsid w:val="00674CF3"/>
    <w:rsid w:val="00674ED7"/>
    <w:rsid w:val="0067531C"/>
    <w:rsid w:val="00675F00"/>
    <w:rsid w:val="00676027"/>
    <w:rsid w:val="0067624F"/>
    <w:rsid w:val="006764D6"/>
    <w:rsid w:val="00676A2D"/>
    <w:rsid w:val="00676CD6"/>
    <w:rsid w:val="00677176"/>
    <w:rsid w:val="0067720D"/>
    <w:rsid w:val="00677B32"/>
    <w:rsid w:val="00677B73"/>
    <w:rsid w:val="00680850"/>
    <w:rsid w:val="00680AE4"/>
    <w:rsid w:val="00680EE9"/>
    <w:rsid w:val="00681BE0"/>
    <w:rsid w:val="00684A86"/>
    <w:rsid w:val="0068554C"/>
    <w:rsid w:val="00685FD2"/>
    <w:rsid w:val="0068675F"/>
    <w:rsid w:val="00686EB3"/>
    <w:rsid w:val="00687AA4"/>
    <w:rsid w:val="00687DAF"/>
    <w:rsid w:val="00687EBA"/>
    <w:rsid w:val="00691953"/>
    <w:rsid w:val="006933DA"/>
    <w:rsid w:val="00693688"/>
    <w:rsid w:val="00693747"/>
    <w:rsid w:val="00694084"/>
    <w:rsid w:val="0069706B"/>
    <w:rsid w:val="00697C32"/>
    <w:rsid w:val="00697D71"/>
    <w:rsid w:val="006A0421"/>
    <w:rsid w:val="006A16BA"/>
    <w:rsid w:val="006A1829"/>
    <w:rsid w:val="006A186A"/>
    <w:rsid w:val="006A1B71"/>
    <w:rsid w:val="006A1B79"/>
    <w:rsid w:val="006A1BE2"/>
    <w:rsid w:val="006A28A6"/>
    <w:rsid w:val="006A295C"/>
    <w:rsid w:val="006A2EF6"/>
    <w:rsid w:val="006A570A"/>
    <w:rsid w:val="006A58D0"/>
    <w:rsid w:val="006A5957"/>
    <w:rsid w:val="006A5CD9"/>
    <w:rsid w:val="006A63ED"/>
    <w:rsid w:val="006A674E"/>
    <w:rsid w:val="006B0A39"/>
    <w:rsid w:val="006B1249"/>
    <w:rsid w:val="006B2242"/>
    <w:rsid w:val="006B248A"/>
    <w:rsid w:val="006B2D20"/>
    <w:rsid w:val="006B32E9"/>
    <w:rsid w:val="006B39F9"/>
    <w:rsid w:val="006B3A21"/>
    <w:rsid w:val="006B4E13"/>
    <w:rsid w:val="006B5825"/>
    <w:rsid w:val="006B5B35"/>
    <w:rsid w:val="006B5F0E"/>
    <w:rsid w:val="006B6691"/>
    <w:rsid w:val="006B6900"/>
    <w:rsid w:val="006B724A"/>
    <w:rsid w:val="006C0D7B"/>
    <w:rsid w:val="006C104E"/>
    <w:rsid w:val="006C1D01"/>
    <w:rsid w:val="006C2998"/>
    <w:rsid w:val="006C2A23"/>
    <w:rsid w:val="006C2E61"/>
    <w:rsid w:val="006C364A"/>
    <w:rsid w:val="006C386F"/>
    <w:rsid w:val="006C4C00"/>
    <w:rsid w:val="006C6314"/>
    <w:rsid w:val="006C64CC"/>
    <w:rsid w:val="006C7D50"/>
    <w:rsid w:val="006D0686"/>
    <w:rsid w:val="006D190E"/>
    <w:rsid w:val="006D3540"/>
    <w:rsid w:val="006D4237"/>
    <w:rsid w:val="006D4379"/>
    <w:rsid w:val="006D4B27"/>
    <w:rsid w:val="006D4E1C"/>
    <w:rsid w:val="006D4EBE"/>
    <w:rsid w:val="006D4F35"/>
    <w:rsid w:val="006D52E0"/>
    <w:rsid w:val="006D5AB7"/>
    <w:rsid w:val="006D5B1F"/>
    <w:rsid w:val="006D5CF5"/>
    <w:rsid w:val="006D62A9"/>
    <w:rsid w:val="006D6D89"/>
    <w:rsid w:val="006D7591"/>
    <w:rsid w:val="006E0633"/>
    <w:rsid w:val="006E0A3F"/>
    <w:rsid w:val="006E1548"/>
    <w:rsid w:val="006E2ABA"/>
    <w:rsid w:val="006E35A4"/>
    <w:rsid w:val="006E44F6"/>
    <w:rsid w:val="006E45A5"/>
    <w:rsid w:val="006E56D8"/>
    <w:rsid w:val="006E5923"/>
    <w:rsid w:val="006E5D0D"/>
    <w:rsid w:val="006E67BB"/>
    <w:rsid w:val="006E694C"/>
    <w:rsid w:val="006E7279"/>
    <w:rsid w:val="006E7FE3"/>
    <w:rsid w:val="006F04FA"/>
    <w:rsid w:val="006F0879"/>
    <w:rsid w:val="006F0ADD"/>
    <w:rsid w:val="006F23CC"/>
    <w:rsid w:val="006F27EB"/>
    <w:rsid w:val="006F3B05"/>
    <w:rsid w:val="006F4370"/>
    <w:rsid w:val="006F4677"/>
    <w:rsid w:val="006F5406"/>
    <w:rsid w:val="006F563A"/>
    <w:rsid w:val="006F5E41"/>
    <w:rsid w:val="006F61F6"/>
    <w:rsid w:val="006F6A09"/>
    <w:rsid w:val="006F7C9B"/>
    <w:rsid w:val="007002F2"/>
    <w:rsid w:val="007009D9"/>
    <w:rsid w:val="00701127"/>
    <w:rsid w:val="0070157B"/>
    <w:rsid w:val="00701CB9"/>
    <w:rsid w:val="00701FF2"/>
    <w:rsid w:val="00702031"/>
    <w:rsid w:val="007025BF"/>
    <w:rsid w:val="007028F7"/>
    <w:rsid w:val="00702FB1"/>
    <w:rsid w:val="007035F6"/>
    <w:rsid w:val="00703B3C"/>
    <w:rsid w:val="007065F9"/>
    <w:rsid w:val="00707B66"/>
    <w:rsid w:val="00711499"/>
    <w:rsid w:val="00712AAF"/>
    <w:rsid w:val="00712AF8"/>
    <w:rsid w:val="00712DBE"/>
    <w:rsid w:val="00712F35"/>
    <w:rsid w:val="0071372E"/>
    <w:rsid w:val="0071440F"/>
    <w:rsid w:val="007149D3"/>
    <w:rsid w:val="00715A2A"/>
    <w:rsid w:val="007160FC"/>
    <w:rsid w:val="00717399"/>
    <w:rsid w:val="0072259E"/>
    <w:rsid w:val="007228B4"/>
    <w:rsid w:val="007228C8"/>
    <w:rsid w:val="007235D7"/>
    <w:rsid w:val="00724354"/>
    <w:rsid w:val="00724E76"/>
    <w:rsid w:val="007255DB"/>
    <w:rsid w:val="007256DD"/>
    <w:rsid w:val="00725908"/>
    <w:rsid w:val="00725DE1"/>
    <w:rsid w:val="00727D50"/>
    <w:rsid w:val="0073061D"/>
    <w:rsid w:val="00730B2C"/>
    <w:rsid w:val="00730FB9"/>
    <w:rsid w:val="007321E1"/>
    <w:rsid w:val="00732705"/>
    <w:rsid w:val="0073288D"/>
    <w:rsid w:val="00732B1A"/>
    <w:rsid w:val="007330B6"/>
    <w:rsid w:val="00733E9E"/>
    <w:rsid w:val="00734459"/>
    <w:rsid w:val="00735635"/>
    <w:rsid w:val="00736065"/>
    <w:rsid w:val="0073732F"/>
    <w:rsid w:val="00737402"/>
    <w:rsid w:val="0073762B"/>
    <w:rsid w:val="00737764"/>
    <w:rsid w:val="007409FB"/>
    <w:rsid w:val="00740D88"/>
    <w:rsid w:val="00742AA3"/>
    <w:rsid w:val="007441D9"/>
    <w:rsid w:val="00744ACA"/>
    <w:rsid w:val="00745E83"/>
    <w:rsid w:val="007469B4"/>
    <w:rsid w:val="007473A3"/>
    <w:rsid w:val="0074761D"/>
    <w:rsid w:val="00750B84"/>
    <w:rsid w:val="00751029"/>
    <w:rsid w:val="00751396"/>
    <w:rsid w:val="00751888"/>
    <w:rsid w:val="00751C24"/>
    <w:rsid w:val="007520F6"/>
    <w:rsid w:val="00753237"/>
    <w:rsid w:val="00753329"/>
    <w:rsid w:val="00753F65"/>
    <w:rsid w:val="00754040"/>
    <w:rsid w:val="00754AF9"/>
    <w:rsid w:val="00754FB9"/>
    <w:rsid w:val="00755684"/>
    <w:rsid w:val="007567E6"/>
    <w:rsid w:val="00756EE9"/>
    <w:rsid w:val="007571BA"/>
    <w:rsid w:val="007572C6"/>
    <w:rsid w:val="00757EBA"/>
    <w:rsid w:val="00760D7F"/>
    <w:rsid w:val="0076121E"/>
    <w:rsid w:val="00761E32"/>
    <w:rsid w:val="007625DF"/>
    <w:rsid w:val="00762CC8"/>
    <w:rsid w:val="00762DDE"/>
    <w:rsid w:val="00763A69"/>
    <w:rsid w:val="00763A94"/>
    <w:rsid w:val="00764245"/>
    <w:rsid w:val="00764818"/>
    <w:rsid w:val="00764904"/>
    <w:rsid w:val="00764E09"/>
    <w:rsid w:val="00764F86"/>
    <w:rsid w:val="00765372"/>
    <w:rsid w:val="007660FB"/>
    <w:rsid w:val="0076683B"/>
    <w:rsid w:val="007679FB"/>
    <w:rsid w:val="00767AA4"/>
    <w:rsid w:val="00767ACC"/>
    <w:rsid w:val="00767EF0"/>
    <w:rsid w:val="007705B7"/>
    <w:rsid w:val="0077062C"/>
    <w:rsid w:val="007715E7"/>
    <w:rsid w:val="00773163"/>
    <w:rsid w:val="007731AC"/>
    <w:rsid w:val="007731F9"/>
    <w:rsid w:val="0077323C"/>
    <w:rsid w:val="00773BBC"/>
    <w:rsid w:val="00774E40"/>
    <w:rsid w:val="00775DDB"/>
    <w:rsid w:val="00776110"/>
    <w:rsid w:val="00776224"/>
    <w:rsid w:val="00776D1F"/>
    <w:rsid w:val="00777E54"/>
    <w:rsid w:val="00781C20"/>
    <w:rsid w:val="007830CB"/>
    <w:rsid w:val="007834D5"/>
    <w:rsid w:val="0078368C"/>
    <w:rsid w:val="00785CAE"/>
    <w:rsid w:val="00785FA8"/>
    <w:rsid w:val="0078672E"/>
    <w:rsid w:val="00786DBD"/>
    <w:rsid w:val="007870A7"/>
    <w:rsid w:val="0078728E"/>
    <w:rsid w:val="007876F2"/>
    <w:rsid w:val="00790476"/>
    <w:rsid w:val="00790E43"/>
    <w:rsid w:val="0079292A"/>
    <w:rsid w:val="00792A27"/>
    <w:rsid w:val="007955BF"/>
    <w:rsid w:val="00795BF2"/>
    <w:rsid w:val="00796847"/>
    <w:rsid w:val="007969B8"/>
    <w:rsid w:val="007976DD"/>
    <w:rsid w:val="007A07B5"/>
    <w:rsid w:val="007A189D"/>
    <w:rsid w:val="007A1D66"/>
    <w:rsid w:val="007A249F"/>
    <w:rsid w:val="007A24F0"/>
    <w:rsid w:val="007A28A3"/>
    <w:rsid w:val="007A2E00"/>
    <w:rsid w:val="007A35D8"/>
    <w:rsid w:val="007A36DE"/>
    <w:rsid w:val="007A3798"/>
    <w:rsid w:val="007A38AA"/>
    <w:rsid w:val="007A3AA3"/>
    <w:rsid w:val="007A3AB1"/>
    <w:rsid w:val="007A44A0"/>
    <w:rsid w:val="007A44D9"/>
    <w:rsid w:val="007A56CD"/>
    <w:rsid w:val="007A5D7E"/>
    <w:rsid w:val="007A624A"/>
    <w:rsid w:val="007A664B"/>
    <w:rsid w:val="007A678A"/>
    <w:rsid w:val="007A7584"/>
    <w:rsid w:val="007A7B51"/>
    <w:rsid w:val="007A7C3E"/>
    <w:rsid w:val="007B1190"/>
    <w:rsid w:val="007B1C89"/>
    <w:rsid w:val="007B20E8"/>
    <w:rsid w:val="007B2E58"/>
    <w:rsid w:val="007B351D"/>
    <w:rsid w:val="007B3834"/>
    <w:rsid w:val="007B5E5B"/>
    <w:rsid w:val="007B63D1"/>
    <w:rsid w:val="007C0AB9"/>
    <w:rsid w:val="007C0E50"/>
    <w:rsid w:val="007C107F"/>
    <w:rsid w:val="007C141D"/>
    <w:rsid w:val="007C21CF"/>
    <w:rsid w:val="007C332B"/>
    <w:rsid w:val="007C3891"/>
    <w:rsid w:val="007C3956"/>
    <w:rsid w:val="007C3BEC"/>
    <w:rsid w:val="007C3D2C"/>
    <w:rsid w:val="007C3FE2"/>
    <w:rsid w:val="007C4FC4"/>
    <w:rsid w:val="007C6475"/>
    <w:rsid w:val="007C6B6A"/>
    <w:rsid w:val="007C6CF8"/>
    <w:rsid w:val="007C6DEE"/>
    <w:rsid w:val="007C6EF8"/>
    <w:rsid w:val="007C72A7"/>
    <w:rsid w:val="007C778F"/>
    <w:rsid w:val="007D04FF"/>
    <w:rsid w:val="007D09B1"/>
    <w:rsid w:val="007D0E7F"/>
    <w:rsid w:val="007D25C6"/>
    <w:rsid w:val="007D2C99"/>
    <w:rsid w:val="007D2EDF"/>
    <w:rsid w:val="007D2EF6"/>
    <w:rsid w:val="007D3436"/>
    <w:rsid w:val="007D3456"/>
    <w:rsid w:val="007D4792"/>
    <w:rsid w:val="007D48FB"/>
    <w:rsid w:val="007D4CA4"/>
    <w:rsid w:val="007D56F2"/>
    <w:rsid w:val="007D58C7"/>
    <w:rsid w:val="007D5AAC"/>
    <w:rsid w:val="007D5ACE"/>
    <w:rsid w:val="007D5EB1"/>
    <w:rsid w:val="007D6D3D"/>
    <w:rsid w:val="007D71AA"/>
    <w:rsid w:val="007D775F"/>
    <w:rsid w:val="007D7A38"/>
    <w:rsid w:val="007D7BC5"/>
    <w:rsid w:val="007E19AA"/>
    <w:rsid w:val="007E1ADA"/>
    <w:rsid w:val="007E2A78"/>
    <w:rsid w:val="007E3AFB"/>
    <w:rsid w:val="007E4448"/>
    <w:rsid w:val="007E5233"/>
    <w:rsid w:val="007E5880"/>
    <w:rsid w:val="007E674C"/>
    <w:rsid w:val="007E715B"/>
    <w:rsid w:val="007E7412"/>
    <w:rsid w:val="007E7FCD"/>
    <w:rsid w:val="007F0BD9"/>
    <w:rsid w:val="007F1133"/>
    <w:rsid w:val="007F140C"/>
    <w:rsid w:val="007F1C2E"/>
    <w:rsid w:val="007F1E1F"/>
    <w:rsid w:val="007F20FA"/>
    <w:rsid w:val="007F218B"/>
    <w:rsid w:val="007F241B"/>
    <w:rsid w:val="007F25CB"/>
    <w:rsid w:val="007F285A"/>
    <w:rsid w:val="007F322B"/>
    <w:rsid w:val="007F338E"/>
    <w:rsid w:val="007F34CF"/>
    <w:rsid w:val="007F359B"/>
    <w:rsid w:val="007F35EB"/>
    <w:rsid w:val="007F37DD"/>
    <w:rsid w:val="007F3A30"/>
    <w:rsid w:val="007F3EDA"/>
    <w:rsid w:val="007F44AA"/>
    <w:rsid w:val="007F4BE4"/>
    <w:rsid w:val="007F4E1D"/>
    <w:rsid w:val="007F5F89"/>
    <w:rsid w:val="007F6712"/>
    <w:rsid w:val="007F712D"/>
    <w:rsid w:val="007F7150"/>
    <w:rsid w:val="007F7E76"/>
    <w:rsid w:val="0080176C"/>
    <w:rsid w:val="00802572"/>
    <w:rsid w:val="008027F6"/>
    <w:rsid w:val="00803C38"/>
    <w:rsid w:val="0080462E"/>
    <w:rsid w:val="00805F91"/>
    <w:rsid w:val="00806031"/>
    <w:rsid w:val="008061C1"/>
    <w:rsid w:val="00806A8E"/>
    <w:rsid w:val="0080712F"/>
    <w:rsid w:val="00807489"/>
    <w:rsid w:val="008077B5"/>
    <w:rsid w:val="00810A63"/>
    <w:rsid w:val="0081281C"/>
    <w:rsid w:val="00812EE1"/>
    <w:rsid w:val="008131F3"/>
    <w:rsid w:val="00813910"/>
    <w:rsid w:val="0081405B"/>
    <w:rsid w:val="008146C7"/>
    <w:rsid w:val="00814B1E"/>
    <w:rsid w:val="00816D87"/>
    <w:rsid w:val="00817CCD"/>
    <w:rsid w:val="00820A88"/>
    <w:rsid w:val="00820D14"/>
    <w:rsid w:val="00820FAC"/>
    <w:rsid w:val="00821066"/>
    <w:rsid w:val="00821391"/>
    <w:rsid w:val="00822A4A"/>
    <w:rsid w:val="008235D7"/>
    <w:rsid w:val="0082384B"/>
    <w:rsid w:val="008254A3"/>
    <w:rsid w:val="00825554"/>
    <w:rsid w:val="00825ED2"/>
    <w:rsid w:val="00827ACC"/>
    <w:rsid w:val="00830CA1"/>
    <w:rsid w:val="00831CA2"/>
    <w:rsid w:val="00832048"/>
    <w:rsid w:val="0083215E"/>
    <w:rsid w:val="0083219B"/>
    <w:rsid w:val="00832424"/>
    <w:rsid w:val="008328DD"/>
    <w:rsid w:val="00833529"/>
    <w:rsid w:val="00833C17"/>
    <w:rsid w:val="00834400"/>
    <w:rsid w:val="00834750"/>
    <w:rsid w:val="008348E5"/>
    <w:rsid w:val="00834A3A"/>
    <w:rsid w:val="00834E3E"/>
    <w:rsid w:val="00835E8A"/>
    <w:rsid w:val="008363F3"/>
    <w:rsid w:val="0083753F"/>
    <w:rsid w:val="008376CB"/>
    <w:rsid w:val="00837BCD"/>
    <w:rsid w:val="00841FEA"/>
    <w:rsid w:val="008422C8"/>
    <w:rsid w:val="008426EA"/>
    <w:rsid w:val="00842C08"/>
    <w:rsid w:val="00843C6A"/>
    <w:rsid w:val="00843C9B"/>
    <w:rsid w:val="00844607"/>
    <w:rsid w:val="00844685"/>
    <w:rsid w:val="008449A4"/>
    <w:rsid w:val="00844E9C"/>
    <w:rsid w:val="00844EF5"/>
    <w:rsid w:val="00845A97"/>
    <w:rsid w:val="00845E7B"/>
    <w:rsid w:val="0084617E"/>
    <w:rsid w:val="00846519"/>
    <w:rsid w:val="00846CD7"/>
    <w:rsid w:val="00846E55"/>
    <w:rsid w:val="00847218"/>
    <w:rsid w:val="0084770D"/>
    <w:rsid w:val="00847C7F"/>
    <w:rsid w:val="00850B58"/>
    <w:rsid w:val="00850D3E"/>
    <w:rsid w:val="0085239D"/>
    <w:rsid w:val="00852F1A"/>
    <w:rsid w:val="0085381C"/>
    <w:rsid w:val="008547E3"/>
    <w:rsid w:val="00854BCC"/>
    <w:rsid w:val="00854D51"/>
    <w:rsid w:val="0085521D"/>
    <w:rsid w:val="00856AD3"/>
    <w:rsid w:val="00857DBE"/>
    <w:rsid w:val="00860403"/>
    <w:rsid w:val="00860F7C"/>
    <w:rsid w:val="00861C0A"/>
    <w:rsid w:val="00861C69"/>
    <w:rsid w:val="00862DA2"/>
    <w:rsid w:val="00864062"/>
    <w:rsid w:val="00865080"/>
    <w:rsid w:val="00865C3D"/>
    <w:rsid w:val="008663A7"/>
    <w:rsid w:val="00866659"/>
    <w:rsid w:val="008667A3"/>
    <w:rsid w:val="008667E7"/>
    <w:rsid w:val="008671B6"/>
    <w:rsid w:val="00867350"/>
    <w:rsid w:val="008674D1"/>
    <w:rsid w:val="00867613"/>
    <w:rsid w:val="00867B61"/>
    <w:rsid w:val="00867D8D"/>
    <w:rsid w:val="00870816"/>
    <w:rsid w:val="008722D8"/>
    <w:rsid w:val="008723E7"/>
    <w:rsid w:val="00872680"/>
    <w:rsid w:val="00872FE3"/>
    <w:rsid w:val="008733A3"/>
    <w:rsid w:val="00873F6D"/>
    <w:rsid w:val="0087571B"/>
    <w:rsid w:val="0087599D"/>
    <w:rsid w:val="00876AEA"/>
    <w:rsid w:val="00876BC9"/>
    <w:rsid w:val="00877530"/>
    <w:rsid w:val="008809F2"/>
    <w:rsid w:val="00880FE9"/>
    <w:rsid w:val="008820C0"/>
    <w:rsid w:val="008823D9"/>
    <w:rsid w:val="00882857"/>
    <w:rsid w:val="0088484C"/>
    <w:rsid w:val="00884D52"/>
    <w:rsid w:val="008857BF"/>
    <w:rsid w:val="00885932"/>
    <w:rsid w:val="00885A68"/>
    <w:rsid w:val="00885CCD"/>
    <w:rsid w:val="008865A7"/>
    <w:rsid w:val="008876C6"/>
    <w:rsid w:val="00887AE7"/>
    <w:rsid w:val="00887BCA"/>
    <w:rsid w:val="00887F7C"/>
    <w:rsid w:val="00891870"/>
    <w:rsid w:val="008930E2"/>
    <w:rsid w:val="00894252"/>
    <w:rsid w:val="00894F8D"/>
    <w:rsid w:val="00895F05"/>
    <w:rsid w:val="0089792E"/>
    <w:rsid w:val="00897FA4"/>
    <w:rsid w:val="008A0460"/>
    <w:rsid w:val="008A0636"/>
    <w:rsid w:val="008A0A6A"/>
    <w:rsid w:val="008A136E"/>
    <w:rsid w:val="008A1857"/>
    <w:rsid w:val="008A25F9"/>
    <w:rsid w:val="008A2C87"/>
    <w:rsid w:val="008A2F7D"/>
    <w:rsid w:val="008A31BC"/>
    <w:rsid w:val="008A3639"/>
    <w:rsid w:val="008A42AF"/>
    <w:rsid w:val="008A5AAD"/>
    <w:rsid w:val="008A661B"/>
    <w:rsid w:val="008B0751"/>
    <w:rsid w:val="008B0AE8"/>
    <w:rsid w:val="008B0D14"/>
    <w:rsid w:val="008B19AA"/>
    <w:rsid w:val="008B2195"/>
    <w:rsid w:val="008B2A37"/>
    <w:rsid w:val="008B44BF"/>
    <w:rsid w:val="008B55D1"/>
    <w:rsid w:val="008B5BA1"/>
    <w:rsid w:val="008B6820"/>
    <w:rsid w:val="008B70C2"/>
    <w:rsid w:val="008C0C34"/>
    <w:rsid w:val="008C0C80"/>
    <w:rsid w:val="008C0CF7"/>
    <w:rsid w:val="008C0E64"/>
    <w:rsid w:val="008C155C"/>
    <w:rsid w:val="008C26C8"/>
    <w:rsid w:val="008C2761"/>
    <w:rsid w:val="008C3BCA"/>
    <w:rsid w:val="008C4182"/>
    <w:rsid w:val="008C43B6"/>
    <w:rsid w:val="008C4B94"/>
    <w:rsid w:val="008C5053"/>
    <w:rsid w:val="008C5832"/>
    <w:rsid w:val="008C5F18"/>
    <w:rsid w:val="008C6014"/>
    <w:rsid w:val="008C642D"/>
    <w:rsid w:val="008C6D1A"/>
    <w:rsid w:val="008C73CC"/>
    <w:rsid w:val="008C7565"/>
    <w:rsid w:val="008D031B"/>
    <w:rsid w:val="008D0609"/>
    <w:rsid w:val="008D0D0A"/>
    <w:rsid w:val="008D0EE2"/>
    <w:rsid w:val="008D0FFF"/>
    <w:rsid w:val="008D1036"/>
    <w:rsid w:val="008D121D"/>
    <w:rsid w:val="008D22D7"/>
    <w:rsid w:val="008D22F2"/>
    <w:rsid w:val="008D329E"/>
    <w:rsid w:val="008D3AF6"/>
    <w:rsid w:val="008D51F4"/>
    <w:rsid w:val="008D55D8"/>
    <w:rsid w:val="008D5645"/>
    <w:rsid w:val="008D5BB3"/>
    <w:rsid w:val="008D5DE3"/>
    <w:rsid w:val="008D6064"/>
    <w:rsid w:val="008D6406"/>
    <w:rsid w:val="008D6416"/>
    <w:rsid w:val="008D652E"/>
    <w:rsid w:val="008D6AE7"/>
    <w:rsid w:val="008D6D5A"/>
    <w:rsid w:val="008D767E"/>
    <w:rsid w:val="008E04C5"/>
    <w:rsid w:val="008E0F00"/>
    <w:rsid w:val="008E12FF"/>
    <w:rsid w:val="008E131E"/>
    <w:rsid w:val="008E27F7"/>
    <w:rsid w:val="008E3729"/>
    <w:rsid w:val="008E43D0"/>
    <w:rsid w:val="008E5215"/>
    <w:rsid w:val="008E5612"/>
    <w:rsid w:val="008E5DD9"/>
    <w:rsid w:val="008E5EEB"/>
    <w:rsid w:val="008E5F68"/>
    <w:rsid w:val="008E604D"/>
    <w:rsid w:val="008E6532"/>
    <w:rsid w:val="008E6611"/>
    <w:rsid w:val="008F0C94"/>
    <w:rsid w:val="008F1C71"/>
    <w:rsid w:val="008F2802"/>
    <w:rsid w:val="008F306B"/>
    <w:rsid w:val="008F34B7"/>
    <w:rsid w:val="008F3DB8"/>
    <w:rsid w:val="008F3ED8"/>
    <w:rsid w:val="008F3F7E"/>
    <w:rsid w:val="008F4C52"/>
    <w:rsid w:val="008F4DC0"/>
    <w:rsid w:val="008F6AE7"/>
    <w:rsid w:val="008F6BDD"/>
    <w:rsid w:val="008F78CC"/>
    <w:rsid w:val="008F79EB"/>
    <w:rsid w:val="008F7BAF"/>
    <w:rsid w:val="00900BD0"/>
    <w:rsid w:val="00901650"/>
    <w:rsid w:val="00901FA6"/>
    <w:rsid w:val="00902464"/>
    <w:rsid w:val="009036CC"/>
    <w:rsid w:val="0090410B"/>
    <w:rsid w:val="00904904"/>
    <w:rsid w:val="00904FEB"/>
    <w:rsid w:val="00906100"/>
    <w:rsid w:val="009064CF"/>
    <w:rsid w:val="009066AE"/>
    <w:rsid w:val="00906B43"/>
    <w:rsid w:val="00906E33"/>
    <w:rsid w:val="009104B8"/>
    <w:rsid w:val="00910B7C"/>
    <w:rsid w:val="009114AC"/>
    <w:rsid w:val="009116C6"/>
    <w:rsid w:val="00911719"/>
    <w:rsid w:val="00911A17"/>
    <w:rsid w:val="00912C44"/>
    <w:rsid w:val="0091371E"/>
    <w:rsid w:val="00914ADA"/>
    <w:rsid w:val="00914C75"/>
    <w:rsid w:val="00915086"/>
    <w:rsid w:val="00916611"/>
    <w:rsid w:val="00916E02"/>
    <w:rsid w:val="0091703D"/>
    <w:rsid w:val="009173F6"/>
    <w:rsid w:val="009176B3"/>
    <w:rsid w:val="00917B86"/>
    <w:rsid w:val="00917DC9"/>
    <w:rsid w:val="009206CB"/>
    <w:rsid w:val="00921B15"/>
    <w:rsid w:val="00921F0F"/>
    <w:rsid w:val="009224D1"/>
    <w:rsid w:val="00923B76"/>
    <w:rsid w:val="00924120"/>
    <w:rsid w:val="009248BA"/>
    <w:rsid w:val="00924C8E"/>
    <w:rsid w:val="00924F91"/>
    <w:rsid w:val="009250CE"/>
    <w:rsid w:val="00925570"/>
    <w:rsid w:val="0092560C"/>
    <w:rsid w:val="00925723"/>
    <w:rsid w:val="00925DC7"/>
    <w:rsid w:val="00925E92"/>
    <w:rsid w:val="0092635F"/>
    <w:rsid w:val="0092684A"/>
    <w:rsid w:val="009269C7"/>
    <w:rsid w:val="009274B1"/>
    <w:rsid w:val="00927D58"/>
    <w:rsid w:val="00927E23"/>
    <w:rsid w:val="00930C60"/>
    <w:rsid w:val="00930EA6"/>
    <w:rsid w:val="00931919"/>
    <w:rsid w:val="00931CA6"/>
    <w:rsid w:val="00932203"/>
    <w:rsid w:val="009325E9"/>
    <w:rsid w:val="00932B36"/>
    <w:rsid w:val="009338BF"/>
    <w:rsid w:val="00933919"/>
    <w:rsid w:val="00934037"/>
    <w:rsid w:val="0093463B"/>
    <w:rsid w:val="00934904"/>
    <w:rsid w:val="00936BDE"/>
    <w:rsid w:val="00936DFE"/>
    <w:rsid w:val="00937030"/>
    <w:rsid w:val="009375BA"/>
    <w:rsid w:val="00941C1F"/>
    <w:rsid w:val="00941FBD"/>
    <w:rsid w:val="009428BA"/>
    <w:rsid w:val="00942A27"/>
    <w:rsid w:val="009430E3"/>
    <w:rsid w:val="00943FC1"/>
    <w:rsid w:val="00944487"/>
    <w:rsid w:val="00945DE2"/>
    <w:rsid w:val="009466E6"/>
    <w:rsid w:val="00946C93"/>
    <w:rsid w:val="00947B33"/>
    <w:rsid w:val="00951139"/>
    <w:rsid w:val="00951763"/>
    <w:rsid w:val="0095379B"/>
    <w:rsid w:val="009539D1"/>
    <w:rsid w:val="009543E8"/>
    <w:rsid w:val="00954CEA"/>
    <w:rsid w:val="00956008"/>
    <w:rsid w:val="0095762E"/>
    <w:rsid w:val="00957F11"/>
    <w:rsid w:val="009608EA"/>
    <w:rsid w:val="009617B2"/>
    <w:rsid w:val="00962619"/>
    <w:rsid w:val="009627FD"/>
    <w:rsid w:val="009630D2"/>
    <w:rsid w:val="009639E5"/>
    <w:rsid w:val="00963A25"/>
    <w:rsid w:val="0096453A"/>
    <w:rsid w:val="009647B5"/>
    <w:rsid w:val="00965A9F"/>
    <w:rsid w:val="00965BFD"/>
    <w:rsid w:val="0096604C"/>
    <w:rsid w:val="009663C6"/>
    <w:rsid w:val="009671D4"/>
    <w:rsid w:val="00967FF5"/>
    <w:rsid w:val="00970A8A"/>
    <w:rsid w:val="00970FB1"/>
    <w:rsid w:val="00971DEC"/>
    <w:rsid w:val="009721FB"/>
    <w:rsid w:val="0097253D"/>
    <w:rsid w:val="009725DC"/>
    <w:rsid w:val="00972689"/>
    <w:rsid w:val="00972962"/>
    <w:rsid w:val="00972C1A"/>
    <w:rsid w:val="00972E84"/>
    <w:rsid w:val="0097325B"/>
    <w:rsid w:val="00973337"/>
    <w:rsid w:val="0097357F"/>
    <w:rsid w:val="00974950"/>
    <w:rsid w:val="00975233"/>
    <w:rsid w:val="00975445"/>
    <w:rsid w:val="009756F4"/>
    <w:rsid w:val="00975CA0"/>
    <w:rsid w:val="00975ED4"/>
    <w:rsid w:val="00976401"/>
    <w:rsid w:val="0097796B"/>
    <w:rsid w:val="00977AFB"/>
    <w:rsid w:val="009806F7"/>
    <w:rsid w:val="00980802"/>
    <w:rsid w:val="0098124E"/>
    <w:rsid w:val="00981EB4"/>
    <w:rsid w:val="009822C9"/>
    <w:rsid w:val="009828EC"/>
    <w:rsid w:val="00982B0E"/>
    <w:rsid w:val="00984FCD"/>
    <w:rsid w:val="0098537D"/>
    <w:rsid w:val="00985450"/>
    <w:rsid w:val="0098576E"/>
    <w:rsid w:val="00985A3A"/>
    <w:rsid w:val="00986440"/>
    <w:rsid w:val="00986EB7"/>
    <w:rsid w:val="0098782E"/>
    <w:rsid w:val="00990340"/>
    <w:rsid w:val="009904DB"/>
    <w:rsid w:val="00991240"/>
    <w:rsid w:val="0099128C"/>
    <w:rsid w:val="00991571"/>
    <w:rsid w:val="0099176F"/>
    <w:rsid w:val="00992638"/>
    <w:rsid w:val="00993147"/>
    <w:rsid w:val="0099327D"/>
    <w:rsid w:val="00993DEB"/>
    <w:rsid w:val="00993E14"/>
    <w:rsid w:val="00994A24"/>
    <w:rsid w:val="00995367"/>
    <w:rsid w:val="00995759"/>
    <w:rsid w:val="0099625E"/>
    <w:rsid w:val="00996A51"/>
    <w:rsid w:val="009A00D5"/>
    <w:rsid w:val="009A0CEE"/>
    <w:rsid w:val="009A110E"/>
    <w:rsid w:val="009A1E2F"/>
    <w:rsid w:val="009A212B"/>
    <w:rsid w:val="009A2867"/>
    <w:rsid w:val="009A28E6"/>
    <w:rsid w:val="009A44BF"/>
    <w:rsid w:val="009A4634"/>
    <w:rsid w:val="009A49BB"/>
    <w:rsid w:val="009A6658"/>
    <w:rsid w:val="009A6DF6"/>
    <w:rsid w:val="009A786B"/>
    <w:rsid w:val="009A7A7E"/>
    <w:rsid w:val="009B1093"/>
    <w:rsid w:val="009B14C0"/>
    <w:rsid w:val="009B2791"/>
    <w:rsid w:val="009B32B0"/>
    <w:rsid w:val="009B4884"/>
    <w:rsid w:val="009B59EC"/>
    <w:rsid w:val="009B5A45"/>
    <w:rsid w:val="009B6E3D"/>
    <w:rsid w:val="009B6F21"/>
    <w:rsid w:val="009C32CB"/>
    <w:rsid w:val="009C3584"/>
    <w:rsid w:val="009C360D"/>
    <w:rsid w:val="009C3AFF"/>
    <w:rsid w:val="009C3E9B"/>
    <w:rsid w:val="009C5AB9"/>
    <w:rsid w:val="009C5DE3"/>
    <w:rsid w:val="009C6B01"/>
    <w:rsid w:val="009C7154"/>
    <w:rsid w:val="009C744A"/>
    <w:rsid w:val="009D0152"/>
    <w:rsid w:val="009D1CC5"/>
    <w:rsid w:val="009D248C"/>
    <w:rsid w:val="009D3016"/>
    <w:rsid w:val="009D310B"/>
    <w:rsid w:val="009D3C35"/>
    <w:rsid w:val="009D40EF"/>
    <w:rsid w:val="009D5A33"/>
    <w:rsid w:val="009D7160"/>
    <w:rsid w:val="009D7518"/>
    <w:rsid w:val="009E0148"/>
    <w:rsid w:val="009E0152"/>
    <w:rsid w:val="009E054B"/>
    <w:rsid w:val="009E0664"/>
    <w:rsid w:val="009E07D4"/>
    <w:rsid w:val="009E1399"/>
    <w:rsid w:val="009E23F5"/>
    <w:rsid w:val="009E2CC6"/>
    <w:rsid w:val="009E372F"/>
    <w:rsid w:val="009E379D"/>
    <w:rsid w:val="009E4F49"/>
    <w:rsid w:val="009E6E14"/>
    <w:rsid w:val="009E7799"/>
    <w:rsid w:val="009F09B7"/>
    <w:rsid w:val="009F0DBC"/>
    <w:rsid w:val="009F1DF4"/>
    <w:rsid w:val="009F2052"/>
    <w:rsid w:val="009F2208"/>
    <w:rsid w:val="009F483C"/>
    <w:rsid w:val="009F4F6B"/>
    <w:rsid w:val="009F6415"/>
    <w:rsid w:val="009F6B28"/>
    <w:rsid w:val="009F7089"/>
    <w:rsid w:val="009F71AF"/>
    <w:rsid w:val="00A00C18"/>
    <w:rsid w:val="00A01191"/>
    <w:rsid w:val="00A011EB"/>
    <w:rsid w:val="00A0146F"/>
    <w:rsid w:val="00A01E1E"/>
    <w:rsid w:val="00A0225F"/>
    <w:rsid w:val="00A02555"/>
    <w:rsid w:val="00A02DE3"/>
    <w:rsid w:val="00A03E99"/>
    <w:rsid w:val="00A0496A"/>
    <w:rsid w:val="00A06841"/>
    <w:rsid w:val="00A06991"/>
    <w:rsid w:val="00A077EA"/>
    <w:rsid w:val="00A117C1"/>
    <w:rsid w:val="00A11C44"/>
    <w:rsid w:val="00A11EF7"/>
    <w:rsid w:val="00A11FE0"/>
    <w:rsid w:val="00A1213D"/>
    <w:rsid w:val="00A15943"/>
    <w:rsid w:val="00A15EFA"/>
    <w:rsid w:val="00A15FAF"/>
    <w:rsid w:val="00A2033C"/>
    <w:rsid w:val="00A204F8"/>
    <w:rsid w:val="00A2067E"/>
    <w:rsid w:val="00A21BDC"/>
    <w:rsid w:val="00A22008"/>
    <w:rsid w:val="00A224EA"/>
    <w:rsid w:val="00A23177"/>
    <w:rsid w:val="00A237F8"/>
    <w:rsid w:val="00A23BC4"/>
    <w:rsid w:val="00A23EBC"/>
    <w:rsid w:val="00A23F98"/>
    <w:rsid w:val="00A24DBD"/>
    <w:rsid w:val="00A2524F"/>
    <w:rsid w:val="00A25BC1"/>
    <w:rsid w:val="00A25F41"/>
    <w:rsid w:val="00A25FED"/>
    <w:rsid w:val="00A2611C"/>
    <w:rsid w:val="00A26195"/>
    <w:rsid w:val="00A27470"/>
    <w:rsid w:val="00A27762"/>
    <w:rsid w:val="00A3079B"/>
    <w:rsid w:val="00A313E8"/>
    <w:rsid w:val="00A32755"/>
    <w:rsid w:val="00A327FB"/>
    <w:rsid w:val="00A3343F"/>
    <w:rsid w:val="00A3423B"/>
    <w:rsid w:val="00A364BA"/>
    <w:rsid w:val="00A370B6"/>
    <w:rsid w:val="00A37695"/>
    <w:rsid w:val="00A409A0"/>
    <w:rsid w:val="00A413C6"/>
    <w:rsid w:val="00A41A2B"/>
    <w:rsid w:val="00A42810"/>
    <w:rsid w:val="00A43608"/>
    <w:rsid w:val="00A4404E"/>
    <w:rsid w:val="00A4489F"/>
    <w:rsid w:val="00A44A12"/>
    <w:rsid w:val="00A45D29"/>
    <w:rsid w:val="00A45D64"/>
    <w:rsid w:val="00A45F37"/>
    <w:rsid w:val="00A47BD8"/>
    <w:rsid w:val="00A502C9"/>
    <w:rsid w:val="00A512C4"/>
    <w:rsid w:val="00A51EDF"/>
    <w:rsid w:val="00A52925"/>
    <w:rsid w:val="00A52D41"/>
    <w:rsid w:val="00A53705"/>
    <w:rsid w:val="00A53C85"/>
    <w:rsid w:val="00A53E70"/>
    <w:rsid w:val="00A541C7"/>
    <w:rsid w:val="00A55888"/>
    <w:rsid w:val="00A56558"/>
    <w:rsid w:val="00A56CA6"/>
    <w:rsid w:val="00A570FA"/>
    <w:rsid w:val="00A57835"/>
    <w:rsid w:val="00A578F0"/>
    <w:rsid w:val="00A57B83"/>
    <w:rsid w:val="00A57E34"/>
    <w:rsid w:val="00A60A00"/>
    <w:rsid w:val="00A610D8"/>
    <w:rsid w:val="00A615E0"/>
    <w:rsid w:val="00A61767"/>
    <w:rsid w:val="00A61885"/>
    <w:rsid w:val="00A61D85"/>
    <w:rsid w:val="00A623CD"/>
    <w:rsid w:val="00A63AFB"/>
    <w:rsid w:val="00A63DF4"/>
    <w:rsid w:val="00A64070"/>
    <w:rsid w:val="00A64331"/>
    <w:rsid w:val="00A64C3D"/>
    <w:rsid w:val="00A65125"/>
    <w:rsid w:val="00A6533B"/>
    <w:rsid w:val="00A65A36"/>
    <w:rsid w:val="00A65B51"/>
    <w:rsid w:val="00A666AF"/>
    <w:rsid w:val="00A66D06"/>
    <w:rsid w:val="00A66FB6"/>
    <w:rsid w:val="00A67B4B"/>
    <w:rsid w:val="00A70190"/>
    <w:rsid w:val="00A70927"/>
    <w:rsid w:val="00A718A3"/>
    <w:rsid w:val="00A71A7B"/>
    <w:rsid w:val="00A71D4A"/>
    <w:rsid w:val="00A71E1B"/>
    <w:rsid w:val="00A71E87"/>
    <w:rsid w:val="00A71F52"/>
    <w:rsid w:val="00A71FCF"/>
    <w:rsid w:val="00A72A37"/>
    <w:rsid w:val="00A72E72"/>
    <w:rsid w:val="00A73916"/>
    <w:rsid w:val="00A73C7C"/>
    <w:rsid w:val="00A742CC"/>
    <w:rsid w:val="00A746AE"/>
    <w:rsid w:val="00A755A1"/>
    <w:rsid w:val="00A76043"/>
    <w:rsid w:val="00A77112"/>
    <w:rsid w:val="00A8071B"/>
    <w:rsid w:val="00A8173F"/>
    <w:rsid w:val="00A81C95"/>
    <w:rsid w:val="00A822E7"/>
    <w:rsid w:val="00A8267D"/>
    <w:rsid w:val="00A82BA3"/>
    <w:rsid w:val="00A82BF0"/>
    <w:rsid w:val="00A82DDF"/>
    <w:rsid w:val="00A839B2"/>
    <w:rsid w:val="00A84269"/>
    <w:rsid w:val="00A84441"/>
    <w:rsid w:val="00A851CA"/>
    <w:rsid w:val="00A85A3A"/>
    <w:rsid w:val="00A85CD9"/>
    <w:rsid w:val="00A85D4B"/>
    <w:rsid w:val="00A86D01"/>
    <w:rsid w:val="00A86F97"/>
    <w:rsid w:val="00A87739"/>
    <w:rsid w:val="00A87965"/>
    <w:rsid w:val="00A87EB6"/>
    <w:rsid w:val="00A90769"/>
    <w:rsid w:val="00A91A85"/>
    <w:rsid w:val="00A91ACB"/>
    <w:rsid w:val="00A92C5B"/>
    <w:rsid w:val="00A9315A"/>
    <w:rsid w:val="00A93E14"/>
    <w:rsid w:val="00A9411B"/>
    <w:rsid w:val="00A94474"/>
    <w:rsid w:val="00A946BF"/>
    <w:rsid w:val="00A94AA5"/>
    <w:rsid w:val="00A94BA0"/>
    <w:rsid w:val="00A94D3B"/>
    <w:rsid w:val="00A95CE4"/>
    <w:rsid w:val="00A97F39"/>
    <w:rsid w:val="00AA076E"/>
    <w:rsid w:val="00AA0B97"/>
    <w:rsid w:val="00AA0E94"/>
    <w:rsid w:val="00AA1908"/>
    <w:rsid w:val="00AA2722"/>
    <w:rsid w:val="00AA4375"/>
    <w:rsid w:val="00AA4AC7"/>
    <w:rsid w:val="00AA4DC1"/>
    <w:rsid w:val="00AA4E74"/>
    <w:rsid w:val="00AA66D3"/>
    <w:rsid w:val="00AA7D40"/>
    <w:rsid w:val="00AA7DC1"/>
    <w:rsid w:val="00AA7E9D"/>
    <w:rsid w:val="00AB044F"/>
    <w:rsid w:val="00AB0BB3"/>
    <w:rsid w:val="00AB1C64"/>
    <w:rsid w:val="00AB2797"/>
    <w:rsid w:val="00AB28F5"/>
    <w:rsid w:val="00AB2A2C"/>
    <w:rsid w:val="00AB5F73"/>
    <w:rsid w:val="00AB6758"/>
    <w:rsid w:val="00AB751C"/>
    <w:rsid w:val="00AC0A68"/>
    <w:rsid w:val="00AC0E71"/>
    <w:rsid w:val="00AC1625"/>
    <w:rsid w:val="00AC1C21"/>
    <w:rsid w:val="00AC255D"/>
    <w:rsid w:val="00AC29DE"/>
    <w:rsid w:val="00AC2EDD"/>
    <w:rsid w:val="00AC37A6"/>
    <w:rsid w:val="00AC3A3F"/>
    <w:rsid w:val="00AC4972"/>
    <w:rsid w:val="00AC4E23"/>
    <w:rsid w:val="00AC6469"/>
    <w:rsid w:val="00AC6838"/>
    <w:rsid w:val="00AC69BA"/>
    <w:rsid w:val="00AC6F81"/>
    <w:rsid w:val="00AC7092"/>
    <w:rsid w:val="00AC79AD"/>
    <w:rsid w:val="00AC7BF6"/>
    <w:rsid w:val="00AD0E75"/>
    <w:rsid w:val="00AD0E9F"/>
    <w:rsid w:val="00AD27E8"/>
    <w:rsid w:val="00AD2F32"/>
    <w:rsid w:val="00AD36F1"/>
    <w:rsid w:val="00AD4061"/>
    <w:rsid w:val="00AD410D"/>
    <w:rsid w:val="00AD4238"/>
    <w:rsid w:val="00AD52B5"/>
    <w:rsid w:val="00AD5FFD"/>
    <w:rsid w:val="00AD7FFE"/>
    <w:rsid w:val="00AE0C58"/>
    <w:rsid w:val="00AE0D05"/>
    <w:rsid w:val="00AE1102"/>
    <w:rsid w:val="00AE1978"/>
    <w:rsid w:val="00AE2A3A"/>
    <w:rsid w:val="00AE2B24"/>
    <w:rsid w:val="00AE42BF"/>
    <w:rsid w:val="00AE48BE"/>
    <w:rsid w:val="00AE49B5"/>
    <w:rsid w:val="00AE4D3C"/>
    <w:rsid w:val="00AE57D2"/>
    <w:rsid w:val="00AE624C"/>
    <w:rsid w:val="00AE644C"/>
    <w:rsid w:val="00AE69A2"/>
    <w:rsid w:val="00AE6B9D"/>
    <w:rsid w:val="00AE6CEA"/>
    <w:rsid w:val="00AE7039"/>
    <w:rsid w:val="00AE733D"/>
    <w:rsid w:val="00AE7530"/>
    <w:rsid w:val="00AE7736"/>
    <w:rsid w:val="00AF02AE"/>
    <w:rsid w:val="00AF116D"/>
    <w:rsid w:val="00AF16F7"/>
    <w:rsid w:val="00AF2F78"/>
    <w:rsid w:val="00AF44B5"/>
    <w:rsid w:val="00AF4AFF"/>
    <w:rsid w:val="00AF69FD"/>
    <w:rsid w:val="00AF6A90"/>
    <w:rsid w:val="00AF6CF4"/>
    <w:rsid w:val="00AF71D7"/>
    <w:rsid w:val="00AF725A"/>
    <w:rsid w:val="00B0015D"/>
    <w:rsid w:val="00B003AC"/>
    <w:rsid w:val="00B00DB5"/>
    <w:rsid w:val="00B013AC"/>
    <w:rsid w:val="00B01593"/>
    <w:rsid w:val="00B0183B"/>
    <w:rsid w:val="00B02B5C"/>
    <w:rsid w:val="00B0394E"/>
    <w:rsid w:val="00B04091"/>
    <w:rsid w:val="00B042DE"/>
    <w:rsid w:val="00B04575"/>
    <w:rsid w:val="00B057DE"/>
    <w:rsid w:val="00B06DDC"/>
    <w:rsid w:val="00B10290"/>
    <w:rsid w:val="00B102D6"/>
    <w:rsid w:val="00B11612"/>
    <w:rsid w:val="00B12961"/>
    <w:rsid w:val="00B132EE"/>
    <w:rsid w:val="00B1332F"/>
    <w:rsid w:val="00B139BF"/>
    <w:rsid w:val="00B15B73"/>
    <w:rsid w:val="00B1687E"/>
    <w:rsid w:val="00B16D08"/>
    <w:rsid w:val="00B172B7"/>
    <w:rsid w:val="00B17BCB"/>
    <w:rsid w:val="00B2005E"/>
    <w:rsid w:val="00B2008B"/>
    <w:rsid w:val="00B20579"/>
    <w:rsid w:val="00B20997"/>
    <w:rsid w:val="00B2253A"/>
    <w:rsid w:val="00B22A09"/>
    <w:rsid w:val="00B22A70"/>
    <w:rsid w:val="00B22AB7"/>
    <w:rsid w:val="00B22B8A"/>
    <w:rsid w:val="00B22FA4"/>
    <w:rsid w:val="00B23044"/>
    <w:rsid w:val="00B24012"/>
    <w:rsid w:val="00B2416F"/>
    <w:rsid w:val="00B24AD8"/>
    <w:rsid w:val="00B24FA2"/>
    <w:rsid w:val="00B25658"/>
    <w:rsid w:val="00B26423"/>
    <w:rsid w:val="00B27567"/>
    <w:rsid w:val="00B27F5A"/>
    <w:rsid w:val="00B30B80"/>
    <w:rsid w:val="00B327B2"/>
    <w:rsid w:val="00B337E0"/>
    <w:rsid w:val="00B3469D"/>
    <w:rsid w:val="00B34A90"/>
    <w:rsid w:val="00B35801"/>
    <w:rsid w:val="00B35969"/>
    <w:rsid w:val="00B35B2C"/>
    <w:rsid w:val="00B36328"/>
    <w:rsid w:val="00B36487"/>
    <w:rsid w:val="00B36C53"/>
    <w:rsid w:val="00B378EF"/>
    <w:rsid w:val="00B40FB1"/>
    <w:rsid w:val="00B413C4"/>
    <w:rsid w:val="00B435D0"/>
    <w:rsid w:val="00B43FE4"/>
    <w:rsid w:val="00B441C6"/>
    <w:rsid w:val="00B44CBA"/>
    <w:rsid w:val="00B4512F"/>
    <w:rsid w:val="00B46234"/>
    <w:rsid w:val="00B46871"/>
    <w:rsid w:val="00B472BD"/>
    <w:rsid w:val="00B47490"/>
    <w:rsid w:val="00B47519"/>
    <w:rsid w:val="00B512F6"/>
    <w:rsid w:val="00B5148D"/>
    <w:rsid w:val="00B51BEC"/>
    <w:rsid w:val="00B52488"/>
    <w:rsid w:val="00B52634"/>
    <w:rsid w:val="00B5339C"/>
    <w:rsid w:val="00B53724"/>
    <w:rsid w:val="00B53DA7"/>
    <w:rsid w:val="00B5453C"/>
    <w:rsid w:val="00B5486A"/>
    <w:rsid w:val="00B55C29"/>
    <w:rsid w:val="00B55FB6"/>
    <w:rsid w:val="00B55FF4"/>
    <w:rsid w:val="00B565E0"/>
    <w:rsid w:val="00B575E0"/>
    <w:rsid w:val="00B577FF"/>
    <w:rsid w:val="00B60615"/>
    <w:rsid w:val="00B6194A"/>
    <w:rsid w:val="00B619D5"/>
    <w:rsid w:val="00B61AF5"/>
    <w:rsid w:val="00B63759"/>
    <w:rsid w:val="00B646CC"/>
    <w:rsid w:val="00B6498A"/>
    <w:rsid w:val="00B64FBC"/>
    <w:rsid w:val="00B65FFF"/>
    <w:rsid w:val="00B66D20"/>
    <w:rsid w:val="00B677D0"/>
    <w:rsid w:val="00B67A88"/>
    <w:rsid w:val="00B67CB8"/>
    <w:rsid w:val="00B70018"/>
    <w:rsid w:val="00B7095D"/>
    <w:rsid w:val="00B71277"/>
    <w:rsid w:val="00B713F5"/>
    <w:rsid w:val="00B73817"/>
    <w:rsid w:val="00B738D7"/>
    <w:rsid w:val="00B74396"/>
    <w:rsid w:val="00B743C3"/>
    <w:rsid w:val="00B744BA"/>
    <w:rsid w:val="00B74C77"/>
    <w:rsid w:val="00B75E52"/>
    <w:rsid w:val="00B80664"/>
    <w:rsid w:val="00B82E94"/>
    <w:rsid w:val="00B845C4"/>
    <w:rsid w:val="00B84AF2"/>
    <w:rsid w:val="00B84EFF"/>
    <w:rsid w:val="00B853BF"/>
    <w:rsid w:val="00B860DA"/>
    <w:rsid w:val="00B865AE"/>
    <w:rsid w:val="00B86EA8"/>
    <w:rsid w:val="00B87FDD"/>
    <w:rsid w:val="00B90D36"/>
    <w:rsid w:val="00B9158D"/>
    <w:rsid w:val="00B91E23"/>
    <w:rsid w:val="00B9279E"/>
    <w:rsid w:val="00B9294E"/>
    <w:rsid w:val="00B95A6E"/>
    <w:rsid w:val="00B95CFF"/>
    <w:rsid w:val="00B95DB6"/>
    <w:rsid w:val="00B97395"/>
    <w:rsid w:val="00B97882"/>
    <w:rsid w:val="00BA0210"/>
    <w:rsid w:val="00BA0AF0"/>
    <w:rsid w:val="00BA138F"/>
    <w:rsid w:val="00BA1E49"/>
    <w:rsid w:val="00BA2104"/>
    <w:rsid w:val="00BA3072"/>
    <w:rsid w:val="00BA4148"/>
    <w:rsid w:val="00BA4623"/>
    <w:rsid w:val="00BA4829"/>
    <w:rsid w:val="00BA48D1"/>
    <w:rsid w:val="00BA4C80"/>
    <w:rsid w:val="00BA4C93"/>
    <w:rsid w:val="00BA54CC"/>
    <w:rsid w:val="00BA7A37"/>
    <w:rsid w:val="00BA7B86"/>
    <w:rsid w:val="00BB22B6"/>
    <w:rsid w:val="00BB258C"/>
    <w:rsid w:val="00BB2BCE"/>
    <w:rsid w:val="00BB3A81"/>
    <w:rsid w:val="00BB4D77"/>
    <w:rsid w:val="00BB5D8C"/>
    <w:rsid w:val="00BB649D"/>
    <w:rsid w:val="00BB6525"/>
    <w:rsid w:val="00BB70D2"/>
    <w:rsid w:val="00BC0E1C"/>
    <w:rsid w:val="00BC127B"/>
    <w:rsid w:val="00BC12B7"/>
    <w:rsid w:val="00BC12DE"/>
    <w:rsid w:val="00BC1ADF"/>
    <w:rsid w:val="00BC20C3"/>
    <w:rsid w:val="00BC22BA"/>
    <w:rsid w:val="00BC472A"/>
    <w:rsid w:val="00BC61B4"/>
    <w:rsid w:val="00BC61EF"/>
    <w:rsid w:val="00BC65D9"/>
    <w:rsid w:val="00BC6B72"/>
    <w:rsid w:val="00BD173C"/>
    <w:rsid w:val="00BD1A2B"/>
    <w:rsid w:val="00BD22A2"/>
    <w:rsid w:val="00BD3813"/>
    <w:rsid w:val="00BD533D"/>
    <w:rsid w:val="00BD5A3B"/>
    <w:rsid w:val="00BD606D"/>
    <w:rsid w:val="00BD610E"/>
    <w:rsid w:val="00BD68F0"/>
    <w:rsid w:val="00BD708B"/>
    <w:rsid w:val="00BD78DE"/>
    <w:rsid w:val="00BD7FA7"/>
    <w:rsid w:val="00BE1355"/>
    <w:rsid w:val="00BE1748"/>
    <w:rsid w:val="00BE2035"/>
    <w:rsid w:val="00BE269C"/>
    <w:rsid w:val="00BE26EC"/>
    <w:rsid w:val="00BE3172"/>
    <w:rsid w:val="00BE3197"/>
    <w:rsid w:val="00BE371B"/>
    <w:rsid w:val="00BE37FC"/>
    <w:rsid w:val="00BE3F30"/>
    <w:rsid w:val="00BE4CBC"/>
    <w:rsid w:val="00BE4F08"/>
    <w:rsid w:val="00BE58A0"/>
    <w:rsid w:val="00BE6531"/>
    <w:rsid w:val="00BE65F6"/>
    <w:rsid w:val="00BE713F"/>
    <w:rsid w:val="00BE76E5"/>
    <w:rsid w:val="00BF0018"/>
    <w:rsid w:val="00BF0AAA"/>
    <w:rsid w:val="00BF0DF6"/>
    <w:rsid w:val="00BF10AE"/>
    <w:rsid w:val="00BF16B2"/>
    <w:rsid w:val="00BF1E6D"/>
    <w:rsid w:val="00BF1E92"/>
    <w:rsid w:val="00BF22C3"/>
    <w:rsid w:val="00BF43FF"/>
    <w:rsid w:val="00BF4450"/>
    <w:rsid w:val="00BF501C"/>
    <w:rsid w:val="00BF6378"/>
    <w:rsid w:val="00BF69A7"/>
    <w:rsid w:val="00C01127"/>
    <w:rsid w:val="00C01279"/>
    <w:rsid w:val="00C0212E"/>
    <w:rsid w:val="00C038AD"/>
    <w:rsid w:val="00C04D01"/>
    <w:rsid w:val="00C04E95"/>
    <w:rsid w:val="00C05108"/>
    <w:rsid w:val="00C055F2"/>
    <w:rsid w:val="00C05B99"/>
    <w:rsid w:val="00C05EEA"/>
    <w:rsid w:val="00C06B1E"/>
    <w:rsid w:val="00C077AC"/>
    <w:rsid w:val="00C1020B"/>
    <w:rsid w:val="00C10892"/>
    <w:rsid w:val="00C11251"/>
    <w:rsid w:val="00C13D4B"/>
    <w:rsid w:val="00C14407"/>
    <w:rsid w:val="00C145BA"/>
    <w:rsid w:val="00C147F8"/>
    <w:rsid w:val="00C1528F"/>
    <w:rsid w:val="00C16601"/>
    <w:rsid w:val="00C16C96"/>
    <w:rsid w:val="00C16DC0"/>
    <w:rsid w:val="00C17232"/>
    <w:rsid w:val="00C206D5"/>
    <w:rsid w:val="00C20CD4"/>
    <w:rsid w:val="00C20DC8"/>
    <w:rsid w:val="00C21959"/>
    <w:rsid w:val="00C22458"/>
    <w:rsid w:val="00C22770"/>
    <w:rsid w:val="00C23751"/>
    <w:rsid w:val="00C23927"/>
    <w:rsid w:val="00C24E5C"/>
    <w:rsid w:val="00C25516"/>
    <w:rsid w:val="00C2665D"/>
    <w:rsid w:val="00C26690"/>
    <w:rsid w:val="00C26BFA"/>
    <w:rsid w:val="00C270FB"/>
    <w:rsid w:val="00C27865"/>
    <w:rsid w:val="00C27871"/>
    <w:rsid w:val="00C27994"/>
    <w:rsid w:val="00C27D86"/>
    <w:rsid w:val="00C304CF"/>
    <w:rsid w:val="00C30758"/>
    <w:rsid w:val="00C3091D"/>
    <w:rsid w:val="00C30C6D"/>
    <w:rsid w:val="00C31026"/>
    <w:rsid w:val="00C31DF5"/>
    <w:rsid w:val="00C320F4"/>
    <w:rsid w:val="00C3268F"/>
    <w:rsid w:val="00C32A71"/>
    <w:rsid w:val="00C32A9E"/>
    <w:rsid w:val="00C32DBE"/>
    <w:rsid w:val="00C344CA"/>
    <w:rsid w:val="00C34672"/>
    <w:rsid w:val="00C34F1F"/>
    <w:rsid w:val="00C35BD0"/>
    <w:rsid w:val="00C35CC2"/>
    <w:rsid w:val="00C35F02"/>
    <w:rsid w:val="00C36266"/>
    <w:rsid w:val="00C36288"/>
    <w:rsid w:val="00C36EE9"/>
    <w:rsid w:val="00C37298"/>
    <w:rsid w:val="00C40710"/>
    <w:rsid w:val="00C41FAB"/>
    <w:rsid w:val="00C422F6"/>
    <w:rsid w:val="00C424DA"/>
    <w:rsid w:val="00C4286B"/>
    <w:rsid w:val="00C43BAC"/>
    <w:rsid w:val="00C44ADD"/>
    <w:rsid w:val="00C45424"/>
    <w:rsid w:val="00C4589E"/>
    <w:rsid w:val="00C45A8E"/>
    <w:rsid w:val="00C45DA5"/>
    <w:rsid w:val="00C46C38"/>
    <w:rsid w:val="00C5060C"/>
    <w:rsid w:val="00C50BB2"/>
    <w:rsid w:val="00C51B4B"/>
    <w:rsid w:val="00C5212F"/>
    <w:rsid w:val="00C524A5"/>
    <w:rsid w:val="00C5255D"/>
    <w:rsid w:val="00C54032"/>
    <w:rsid w:val="00C54BBD"/>
    <w:rsid w:val="00C550E6"/>
    <w:rsid w:val="00C55798"/>
    <w:rsid w:val="00C55DC8"/>
    <w:rsid w:val="00C55EB2"/>
    <w:rsid w:val="00C56BB4"/>
    <w:rsid w:val="00C57820"/>
    <w:rsid w:val="00C5790E"/>
    <w:rsid w:val="00C57EDE"/>
    <w:rsid w:val="00C60419"/>
    <w:rsid w:val="00C6064D"/>
    <w:rsid w:val="00C61158"/>
    <w:rsid w:val="00C61E8A"/>
    <w:rsid w:val="00C62377"/>
    <w:rsid w:val="00C628AB"/>
    <w:rsid w:val="00C6311F"/>
    <w:rsid w:val="00C63AB5"/>
    <w:rsid w:val="00C64466"/>
    <w:rsid w:val="00C6460B"/>
    <w:rsid w:val="00C64A2C"/>
    <w:rsid w:val="00C64E4C"/>
    <w:rsid w:val="00C65790"/>
    <w:rsid w:val="00C6649C"/>
    <w:rsid w:val="00C66795"/>
    <w:rsid w:val="00C67017"/>
    <w:rsid w:val="00C67AC1"/>
    <w:rsid w:val="00C67E9D"/>
    <w:rsid w:val="00C70C2F"/>
    <w:rsid w:val="00C71166"/>
    <w:rsid w:val="00C715F0"/>
    <w:rsid w:val="00C71E1E"/>
    <w:rsid w:val="00C72F27"/>
    <w:rsid w:val="00C7347C"/>
    <w:rsid w:val="00C73AA0"/>
    <w:rsid w:val="00C74257"/>
    <w:rsid w:val="00C7470E"/>
    <w:rsid w:val="00C7494B"/>
    <w:rsid w:val="00C74FA7"/>
    <w:rsid w:val="00C75399"/>
    <w:rsid w:val="00C75EA9"/>
    <w:rsid w:val="00C76A34"/>
    <w:rsid w:val="00C77C0E"/>
    <w:rsid w:val="00C77EDA"/>
    <w:rsid w:val="00C8168C"/>
    <w:rsid w:val="00C81B8F"/>
    <w:rsid w:val="00C81E2B"/>
    <w:rsid w:val="00C830BD"/>
    <w:rsid w:val="00C83217"/>
    <w:rsid w:val="00C835F1"/>
    <w:rsid w:val="00C83D3E"/>
    <w:rsid w:val="00C84062"/>
    <w:rsid w:val="00C8408F"/>
    <w:rsid w:val="00C84484"/>
    <w:rsid w:val="00C84F67"/>
    <w:rsid w:val="00C85148"/>
    <w:rsid w:val="00C85C0A"/>
    <w:rsid w:val="00C85F99"/>
    <w:rsid w:val="00C860EA"/>
    <w:rsid w:val="00C87CBA"/>
    <w:rsid w:val="00C87E8F"/>
    <w:rsid w:val="00C90084"/>
    <w:rsid w:val="00C90C1A"/>
    <w:rsid w:val="00C915BB"/>
    <w:rsid w:val="00C917CC"/>
    <w:rsid w:val="00C91A54"/>
    <w:rsid w:val="00C92703"/>
    <w:rsid w:val="00C92A9B"/>
    <w:rsid w:val="00C934CC"/>
    <w:rsid w:val="00C94444"/>
    <w:rsid w:val="00C94DAA"/>
    <w:rsid w:val="00C964D8"/>
    <w:rsid w:val="00C9650B"/>
    <w:rsid w:val="00C97373"/>
    <w:rsid w:val="00CA0C0C"/>
    <w:rsid w:val="00CA0CE9"/>
    <w:rsid w:val="00CA1F3E"/>
    <w:rsid w:val="00CA2D3C"/>
    <w:rsid w:val="00CA38E9"/>
    <w:rsid w:val="00CA3929"/>
    <w:rsid w:val="00CA3B8C"/>
    <w:rsid w:val="00CA4061"/>
    <w:rsid w:val="00CA505C"/>
    <w:rsid w:val="00CA5063"/>
    <w:rsid w:val="00CA5199"/>
    <w:rsid w:val="00CA5475"/>
    <w:rsid w:val="00CA6343"/>
    <w:rsid w:val="00CA6361"/>
    <w:rsid w:val="00CA70C5"/>
    <w:rsid w:val="00CA75E2"/>
    <w:rsid w:val="00CA7E66"/>
    <w:rsid w:val="00CB0048"/>
    <w:rsid w:val="00CB36C3"/>
    <w:rsid w:val="00CB3A5A"/>
    <w:rsid w:val="00CB3DD7"/>
    <w:rsid w:val="00CB3EDD"/>
    <w:rsid w:val="00CB4362"/>
    <w:rsid w:val="00CB454A"/>
    <w:rsid w:val="00CB5195"/>
    <w:rsid w:val="00CB53FD"/>
    <w:rsid w:val="00CB5A2E"/>
    <w:rsid w:val="00CB5E4D"/>
    <w:rsid w:val="00CB615E"/>
    <w:rsid w:val="00CB662F"/>
    <w:rsid w:val="00CB6C08"/>
    <w:rsid w:val="00CB6D21"/>
    <w:rsid w:val="00CB75F0"/>
    <w:rsid w:val="00CB7A35"/>
    <w:rsid w:val="00CC1488"/>
    <w:rsid w:val="00CC1C77"/>
    <w:rsid w:val="00CC2C7C"/>
    <w:rsid w:val="00CC349F"/>
    <w:rsid w:val="00CC4002"/>
    <w:rsid w:val="00CC4364"/>
    <w:rsid w:val="00CC50FE"/>
    <w:rsid w:val="00CC5B98"/>
    <w:rsid w:val="00CC5CC5"/>
    <w:rsid w:val="00CC6770"/>
    <w:rsid w:val="00CC679F"/>
    <w:rsid w:val="00CD005B"/>
    <w:rsid w:val="00CD062E"/>
    <w:rsid w:val="00CD063F"/>
    <w:rsid w:val="00CD0A7B"/>
    <w:rsid w:val="00CD0C2B"/>
    <w:rsid w:val="00CD0DCA"/>
    <w:rsid w:val="00CD1195"/>
    <w:rsid w:val="00CD14F3"/>
    <w:rsid w:val="00CD15C2"/>
    <w:rsid w:val="00CD1913"/>
    <w:rsid w:val="00CD1D94"/>
    <w:rsid w:val="00CD21EA"/>
    <w:rsid w:val="00CD2D38"/>
    <w:rsid w:val="00CD2D8D"/>
    <w:rsid w:val="00CD3836"/>
    <w:rsid w:val="00CD3EAF"/>
    <w:rsid w:val="00CD4121"/>
    <w:rsid w:val="00CD443B"/>
    <w:rsid w:val="00CD4C0A"/>
    <w:rsid w:val="00CD6901"/>
    <w:rsid w:val="00CD6B2B"/>
    <w:rsid w:val="00CD6B66"/>
    <w:rsid w:val="00CD79C0"/>
    <w:rsid w:val="00CE016C"/>
    <w:rsid w:val="00CE0F0C"/>
    <w:rsid w:val="00CE162D"/>
    <w:rsid w:val="00CE19CF"/>
    <w:rsid w:val="00CE218A"/>
    <w:rsid w:val="00CE3142"/>
    <w:rsid w:val="00CE3A32"/>
    <w:rsid w:val="00CE3D5C"/>
    <w:rsid w:val="00CE4C7F"/>
    <w:rsid w:val="00CE52B0"/>
    <w:rsid w:val="00CE5512"/>
    <w:rsid w:val="00CE58F3"/>
    <w:rsid w:val="00CE6748"/>
    <w:rsid w:val="00CE68DA"/>
    <w:rsid w:val="00CE69C2"/>
    <w:rsid w:val="00CE7114"/>
    <w:rsid w:val="00CE7E62"/>
    <w:rsid w:val="00CF0C8C"/>
    <w:rsid w:val="00CF11F1"/>
    <w:rsid w:val="00CF1260"/>
    <w:rsid w:val="00CF2859"/>
    <w:rsid w:val="00CF2DE0"/>
    <w:rsid w:val="00CF32B7"/>
    <w:rsid w:val="00CF39A6"/>
    <w:rsid w:val="00CF3D71"/>
    <w:rsid w:val="00CF5369"/>
    <w:rsid w:val="00CF5716"/>
    <w:rsid w:val="00CF5904"/>
    <w:rsid w:val="00CF70F5"/>
    <w:rsid w:val="00CF79C1"/>
    <w:rsid w:val="00CF7E9B"/>
    <w:rsid w:val="00D01009"/>
    <w:rsid w:val="00D01E17"/>
    <w:rsid w:val="00D0223C"/>
    <w:rsid w:val="00D032B5"/>
    <w:rsid w:val="00D0375D"/>
    <w:rsid w:val="00D043BA"/>
    <w:rsid w:val="00D045C1"/>
    <w:rsid w:val="00D05270"/>
    <w:rsid w:val="00D071A8"/>
    <w:rsid w:val="00D0741F"/>
    <w:rsid w:val="00D07C54"/>
    <w:rsid w:val="00D07CCF"/>
    <w:rsid w:val="00D1029A"/>
    <w:rsid w:val="00D116FE"/>
    <w:rsid w:val="00D12BEE"/>
    <w:rsid w:val="00D12CEA"/>
    <w:rsid w:val="00D12F84"/>
    <w:rsid w:val="00D12FB0"/>
    <w:rsid w:val="00D131DD"/>
    <w:rsid w:val="00D13AE5"/>
    <w:rsid w:val="00D13AF0"/>
    <w:rsid w:val="00D13FDC"/>
    <w:rsid w:val="00D13FF6"/>
    <w:rsid w:val="00D14142"/>
    <w:rsid w:val="00D1451F"/>
    <w:rsid w:val="00D15033"/>
    <w:rsid w:val="00D1516A"/>
    <w:rsid w:val="00D16327"/>
    <w:rsid w:val="00D1667F"/>
    <w:rsid w:val="00D166DA"/>
    <w:rsid w:val="00D1752A"/>
    <w:rsid w:val="00D17A22"/>
    <w:rsid w:val="00D20598"/>
    <w:rsid w:val="00D20748"/>
    <w:rsid w:val="00D20955"/>
    <w:rsid w:val="00D2193E"/>
    <w:rsid w:val="00D219EA"/>
    <w:rsid w:val="00D22B9E"/>
    <w:rsid w:val="00D23AB0"/>
    <w:rsid w:val="00D245A7"/>
    <w:rsid w:val="00D267C8"/>
    <w:rsid w:val="00D3023A"/>
    <w:rsid w:val="00D306B3"/>
    <w:rsid w:val="00D30B00"/>
    <w:rsid w:val="00D32738"/>
    <w:rsid w:val="00D33133"/>
    <w:rsid w:val="00D336FE"/>
    <w:rsid w:val="00D337D1"/>
    <w:rsid w:val="00D33C22"/>
    <w:rsid w:val="00D3413F"/>
    <w:rsid w:val="00D355D0"/>
    <w:rsid w:val="00D35E60"/>
    <w:rsid w:val="00D3631F"/>
    <w:rsid w:val="00D36EE8"/>
    <w:rsid w:val="00D36F7A"/>
    <w:rsid w:val="00D37D9E"/>
    <w:rsid w:val="00D40183"/>
    <w:rsid w:val="00D403AD"/>
    <w:rsid w:val="00D40A33"/>
    <w:rsid w:val="00D413EF"/>
    <w:rsid w:val="00D41645"/>
    <w:rsid w:val="00D422A0"/>
    <w:rsid w:val="00D4259C"/>
    <w:rsid w:val="00D428B1"/>
    <w:rsid w:val="00D428D2"/>
    <w:rsid w:val="00D42AEE"/>
    <w:rsid w:val="00D4434F"/>
    <w:rsid w:val="00D44717"/>
    <w:rsid w:val="00D44BA1"/>
    <w:rsid w:val="00D4501C"/>
    <w:rsid w:val="00D4578C"/>
    <w:rsid w:val="00D45B86"/>
    <w:rsid w:val="00D466A9"/>
    <w:rsid w:val="00D4733F"/>
    <w:rsid w:val="00D5048E"/>
    <w:rsid w:val="00D507B5"/>
    <w:rsid w:val="00D5095C"/>
    <w:rsid w:val="00D50BF9"/>
    <w:rsid w:val="00D50E53"/>
    <w:rsid w:val="00D513CB"/>
    <w:rsid w:val="00D540C1"/>
    <w:rsid w:val="00D54E10"/>
    <w:rsid w:val="00D5564E"/>
    <w:rsid w:val="00D5627E"/>
    <w:rsid w:val="00D56400"/>
    <w:rsid w:val="00D573E6"/>
    <w:rsid w:val="00D57558"/>
    <w:rsid w:val="00D622A8"/>
    <w:rsid w:val="00D626BE"/>
    <w:rsid w:val="00D635EE"/>
    <w:rsid w:val="00D637DA"/>
    <w:rsid w:val="00D63B7A"/>
    <w:rsid w:val="00D63EA8"/>
    <w:rsid w:val="00D661A2"/>
    <w:rsid w:val="00D67967"/>
    <w:rsid w:val="00D70F99"/>
    <w:rsid w:val="00D71D86"/>
    <w:rsid w:val="00D71EA8"/>
    <w:rsid w:val="00D74194"/>
    <w:rsid w:val="00D7434A"/>
    <w:rsid w:val="00D75128"/>
    <w:rsid w:val="00D75374"/>
    <w:rsid w:val="00D754EC"/>
    <w:rsid w:val="00D758BB"/>
    <w:rsid w:val="00D7675C"/>
    <w:rsid w:val="00D76AF5"/>
    <w:rsid w:val="00D76C7E"/>
    <w:rsid w:val="00D77F75"/>
    <w:rsid w:val="00D817BC"/>
    <w:rsid w:val="00D81F3E"/>
    <w:rsid w:val="00D81F88"/>
    <w:rsid w:val="00D826E9"/>
    <w:rsid w:val="00D83892"/>
    <w:rsid w:val="00D8433E"/>
    <w:rsid w:val="00D84D74"/>
    <w:rsid w:val="00D850CE"/>
    <w:rsid w:val="00D85FBF"/>
    <w:rsid w:val="00D8663C"/>
    <w:rsid w:val="00D8686A"/>
    <w:rsid w:val="00D902B7"/>
    <w:rsid w:val="00D90DBC"/>
    <w:rsid w:val="00D913F2"/>
    <w:rsid w:val="00D914DF"/>
    <w:rsid w:val="00D91CE7"/>
    <w:rsid w:val="00D9265C"/>
    <w:rsid w:val="00D927D9"/>
    <w:rsid w:val="00D92893"/>
    <w:rsid w:val="00D92FDF"/>
    <w:rsid w:val="00D93622"/>
    <w:rsid w:val="00D93863"/>
    <w:rsid w:val="00D93C69"/>
    <w:rsid w:val="00D95761"/>
    <w:rsid w:val="00D958D0"/>
    <w:rsid w:val="00D961DC"/>
    <w:rsid w:val="00D96383"/>
    <w:rsid w:val="00D966C6"/>
    <w:rsid w:val="00D9746B"/>
    <w:rsid w:val="00D97637"/>
    <w:rsid w:val="00DA072B"/>
    <w:rsid w:val="00DA09B2"/>
    <w:rsid w:val="00DA0E22"/>
    <w:rsid w:val="00DA3055"/>
    <w:rsid w:val="00DA39C0"/>
    <w:rsid w:val="00DA4394"/>
    <w:rsid w:val="00DA4B42"/>
    <w:rsid w:val="00DA4F6F"/>
    <w:rsid w:val="00DA5559"/>
    <w:rsid w:val="00DA5E35"/>
    <w:rsid w:val="00DA620E"/>
    <w:rsid w:val="00DA650B"/>
    <w:rsid w:val="00DA6F57"/>
    <w:rsid w:val="00DA7563"/>
    <w:rsid w:val="00DA7AF0"/>
    <w:rsid w:val="00DA7C71"/>
    <w:rsid w:val="00DB05F0"/>
    <w:rsid w:val="00DB2140"/>
    <w:rsid w:val="00DB39BF"/>
    <w:rsid w:val="00DB3C6F"/>
    <w:rsid w:val="00DB3D27"/>
    <w:rsid w:val="00DB4446"/>
    <w:rsid w:val="00DB4B00"/>
    <w:rsid w:val="00DB4C73"/>
    <w:rsid w:val="00DB4CA8"/>
    <w:rsid w:val="00DB5A89"/>
    <w:rsid w:val="00DB6C92"/>
    <w:rsid w:val="00DB6F02"/>
    <w:rsid w:val="00DB71C1"/>
    <w:rsid w:val="00DB78CB"/>
    <w:rsid w:val="00DB797E"/>
    <w:rsid w:val="00DB7EFF"/>
    <w:rsid w:val="00DC08AC"/>
    <w:rsid w:val="00DC14E1"/>
    <w:rsid w:val="00DC18B7"/>
    <w:rsid w:val="00DC1A13"/>
    <w:rsid w:val="00DC1D91"/>
    <w:rsid w:val="00DC223C"/>
    <w:rsid w:val="00DC3CFA"/>
    <w:rsid w:val="00DC472C"/>
    <w:rsid w:val="00DC654E"/>
    <w:rsid w:val="00DC6CEC"/>
    <w:rsid w:val="00DC6E36"/>
    <w:rsid w:val="00DC7431"/>
    <w:rsid w:val="00DC77FA"/>
    <w:rsid w:val="00DD0082"/>
    <w:rsid w:val="00DD1629"/>
    <w:rsid w:val="00DD16DC"/>
    <w:rsid w:val="00DD5FDB"/>
    <w:rsid w:val="00DD666F"/>
    <w:rsid w:val="00DD6A0B"/>
    <w:rsid w:val="00DE0219"/>
    <w:rsid w:val="00DE0791"/>
    <w:rsid w:val="00DE101F"/>
    <w:rsid w:val="00DE15B6"/>
    <w:rsid w:val="00DE191C"/>
    <w:rsid w:val="00DE25E3"/>
    <w:rsid w:val="00DE46B9"/>
    <w:rsid w:val="00DE498E"/>
    <w:rsid w:val="00DE4A38"/>
    <w:rsid w:val="00DE4EC6"/>
    <w:rsid w:val="00DE67BA"/>
    <w:rsid w:val="00DE78B1"/>
    <w:rsid w:val="00DE7BCD"/>
    <w:rsid w:val="00DF1751"/>
    <w:rsid w:val="00DF17C6"/>
    <w:rsid w:val="00DF241B"/>
    <w:rsid w:val="00DF2DB3"/>
    <w:rsid w:val="00DF44D8"/>
    <w:rsid w:val="00DF5CA0"/>
    <w:rsid w:val="00DF64EE"/>
    <w:rsid w:val="00DF7054"/>
    <w:rsid w:val="00DF7634"/>
    <w:rsid w:val="00E02019"/>
    <w:rsid w:val="00E03323"/>
    <w:rsid w:val="00E03846"/>
    <w:rsid w:val="00E03908"/>
    <w:rsid w:val="00E03A03"/>
    <w:rsid w:val="00E040AD"/>
    <w:rsid w:val="00E04360"/>
    <w:rsid w:val="00E046F3"/>
    <w:rsid w:val="00E04BC6"/>
    <w:rsid w:val="00E04E39"/>
    <w:rsid w:val="00E0521B"/>
    <w:rsid w:val="00E05243"/>
    <w:rsid w:val="00E052DF"/>
    <w:rsid w:val="00E054A6"/>
    <w:rsid w:val="00E056AF"/>
    <w:rsid w:val="00E0582A"/>
    <w:rsid w:val="00E05DA4"/>
    <w:rsid w:val="00E061B0"/>
    <w:rsid w:val="00E0641A"/>
    <w:rsid w:val="00E06A39"/>
    <w:rsid w:val="00E07981"/>
    <w:rsid w:val="00E07B55"/>
    <w:rsid w:val="00E107E8"/>
    <w:rsid w:val="00E10BF2"/>
    <w:rsid w:val="00E10D29"/>
    <w:rsid w:val="00E11C0B"/>
    <w:rsid w:val="00E1295C"/>
    <w:rsid w:val="00E12C1B"/>
    <w:rsid w:val="00E1333C"/>
    <w:rsid w:val="00E13666"/>
    <w:rsid w:val="00E137EE"/>
    <w:rsid w:val="00E13814"/>
    <w:rsid w:val="00E13A48"/>
    <w:rsid w:val="00E13DAF"/>
    <w:rsid w:val="00E14099"/>
    <w:rsid w:val="00E1452A"/>
    <w:rsid w:val="00E14C73"/>
    <w:rsid w:val="00E15097"/>
    <w:rsid w:val="00E15ACA"/>
    <w:rsid w:val="00E15BD5"/>
    <w:rsid w:val="00E1602A"/>
    <w:rsid w:val="00E16042"/>
    <w:rsid w:val="00E16436"/>
    <w:rsid w:val="00E17F1D"/>
    <w:rsid w:val="00E20780"/>
    <w:rsid w:val="00E2088C"/>
    <w:rsid w:val="00E20A7C"/>
    <w:rsid w:val="00E20AF9"/>
    <w:rsid w:val="00E20C2D"/>
    <w:rsid w:val="00E210A2"/>
    <w:rsid w:val="00E22622"/>
    <w:rsid w:val="00E2283F"/>
    <w:rsid w:val="00E2313D"/>
    <w:rsid w:val="00E231F0"/>
    <w:rsid w:val="00E239AA"/>
    <w:rsid w:val="00E24F23"/>
    <w:rsid w:val="00E25F82"/>
    <w:rsid w:val="00E264B8"/>
    <w:rsid w:val="00E26DB0"/>
    <w:rsid w:val="00E3061D"/>
    <w:rsid w:val="00E30DBF"/>
    <w:rsid w:val="00E312C9"/>
    <w:rsid w:val="00E31442"/>
    <w:rsid w:val="00E31952"/>
    <w:rsid w:val="00E31B0D"/>
    <w:rsid w:val="00E32805"/>
    <w:rsid w:val="00E33F19"/>
    <w:rsid w:val="00E3401D"/>
    <w:rsid w:val="00E3406D"/>
    <w:rsid w:val="00E340EA"/>
    <w:rsid w:val="00E3416A"/>
    <w:rsid w:val="00E34CC0"/>
    <w:rsid w:val="00E34D6A"/>
    <w:rsid w:val="00E3557E"/>
    <w:rsid w:val="00E35BF6"/>
    <w:rsid w:val="00E35C79"/>
    <w:rsid w:val="00E3658C"/>
    <w:rsid w:val="00E36F8C"/>
    <w:rsid w:val="00E4287F"/>
    <w:rsid w:val="00E429E2"/>
    <w:rsid w:val="00E4391B"/>
    <w:rsid w:val="00E4520A"/>
    <w:rsid w:val="00E47079"/>
    <w:rsid w:val="00E5020C"/>
    <w:rsid w:val="00E5040D"/>
    <w:rsid w:val="00E514B7"/>
    <w:rsid w:val="00E51A3E"/>
    <w:rsid w:val="00E51A9E"/>
    <w:rsid w:val="00E51B99"/>
    <w:rsid w:val="00E524A8"/>
    <w:rsid w:val="00E52576"/>
    <w:rsid w:val="00E54292"/>
    <w:rsid w:val="00E543FA"/>
    <w:rsid w:val="00E5457C"/>
    <w:rsid w:val="00E54AE1"/>
    <w:rsid w:val="00E55F28"/>
    <w:rsid w:val="00E56548"/>
    <w:rsid w:val="00E5744F"/>
    <w:rsid w:val="00E60A11"/>
    <w:rsid w:val="00E61F27"/>
    <w:rsid w:val="00E6205C"/>
    <w:rsid w:val="00E625CE"/>
    <w:rsid w:val="00E638B8"/>
    <w:rsid w:val="00E63C67"/>
    <w:rsid w:val="00E6449F"/>
    <w:rsid w:val="00E6541E"/>
    <w:rsid w:val="00E65A01"/>
    <w:rsid w:val="00E66EE2"/>
    <w:rsid w:val="00E670A8"/>
    <w:rsid w:val="00E67223"/>
    <w:rsid w:val="00E70075"/>
    <w:rsid w:val="00E7022E"/>
    <w:rsid w:val="00E70E55"/>
    <w:rsid w:val="00E71EDD"/>
    <w:rsid w:val="00E72289"/>
    <w:rsid w:val="00E727B6"/>
    <w:rsid w:val="00E733F1"/>
    <w:rsid w:val="00E73E9E"/>
    <w:rsid w:val="00E740A8"/>
    <w:rsid w:val="00E746F6"/>
    <w:rsid w:val="00E74AB0"/>
    <w:rsid w:val="00E753CF"/>
    <w:rsid w:val="00E7604E"/>
    <w:rsid w:val="00E76999"/>
    <w:rsid w:val="00E76C2A"/>
    <w:rsid w:val="00E76E89"/>
    <w:rsid w:val="00E77A48"/>
    <w:rsid w:val="00E80454"/>
    <w:rsid w:val="00E80DF8"/>
    <w:rsid w:val="00E81713"/>
    <w:rsid w:val="00E822F8"/>
    <w:rsid w:val="00E831C5"/>
    <w:rsid w:val="00E83E87"/>
    <w:rsid w:val="00E84334"/>
    <w:rsid w:val="00E84666"/>
    <w:rsid w:val="00E85337"/>
    <w:rsid w:val="00E86D80"/>
    <w:rsid w:val="00E8731B"/>
    <w:rsid w:val="00E879C0"/>
    <w:rsid w:val="00E9042A"/>
    <w:rsid w:val="00E90826"/>
    <w:rsid w:val="00E90ECC"/>
    <w:rsid w:val="00E911A5"/>
    <w:rsid w:val="00E920D8"/>
    <w:rsid w:val="00E92996"/>
    <w:rsid w:val="00E94A15"/>
    <w:rsid w:val="00E94D13"/>
    <w:rsid w:val="00E94E05"/>
    <w:rsid w:val="00E95AF9"/>
    <w:rsid w:val="00E95B20"/>
    <w:rsid w:val="00E961F4"/>
    <w:rsid w:val="00E96208"/>
    <w:rsid w:val="00E963C1"/>
    <w:rsid w:val="00E96B1E"/>
    <w:rsid w:val="00E96F1D"/>
    <w:rsid w:val="00E9726B"/>
    <w:rsid w:val="00EA05D7"/>
    <w:rsid w:val="00EA1504"/>
    <w:rsid w:val="00EA37E4"/>
    <w:rsid w:val="00EA401D"/>
    <w:rsid w:val="00EA47C8"/>
    <w:rsid w:val="00EA5617"/>
    <w:rsid w:val="00EA56B0"/>
    <w:rsid w:val="00EA60F6"/>
    <w:rsid w:val="00EA60F8"/>
    <w:rsid w:val="00EA64E9"/>
    <w:rsid w:val="00EA6E0B"/>
    <w:rsid w:val="00EA7461"/>
    <w:rsid w:val="00EA7854"/>
    <w:rsid w:val="00EA7EB1"/>
    <w:rsid w:val="00EB170B"/>
    <w:rsid w:val="00EB21CE"/>
    <w:rsid w:val="00EB39F4"/>
    <w:rsid w:val="00EB3F47"/>
    <w:rsid w:val="00EB46D0"/>
    <w:rsid w:val="00EB4D88"/>
    <w:rsid w:val="00EB5A98"/>
    <w:rsid w:val="00EB5C1C"/>
    <w:rsid w:val="00EB7162"/>
    <w:rsid w:val="00EC16BD"/>
    <w:rsid w:val="00EC3355"/>
    <w:rsid w:val="00EC3ED5"/>
    <w:rsid w:val="00EC478D"/>
    <w:rsid w:val="00EC5630"/>
    <w:rsid w:val="00EC6FFD"/>
    <w:rsid w:val="00EC7281"/>
    <w:rsid w:val="00EC781A"/>
    <w:rsid w:val="00ED030A"/>
    <w:rsid w:val="00ED03BE"/>
    <w:rsid w:val="00ED0726"/>
    <w:rsid w:val="00ED0EFF"/>
    <w:rsid w:val="00ED0F57"/>
    <w:rsid w:val="00ED16C6"/>
    <w:rsid w:val="00ED2460"/>
    <w:rsid w:val="00ED35E4"/>
    <w:rsid w:val="00ED38C6"/>
    <w:rsid w:val="00ED3EF7"/>
    <w:rsid w:val="00ED47D3"/>
    <w:rsid w:val="00ED4D58"/>
    <w:rsid w:val="00ED6090"/>
    <w:rsid w:val="00ED729B"/>
    <w:rsid w:val="00EE01F3"/>
    <w:rsid w:val="00EE05FC"/>
    <w:rsid w:val="00EE19C6"/>
    <w:rsid w:val="00EE19ED"/>
    <w:rsid w:val="00EE2516"/>
    <w:rsid w:val="00EE40CB"/>
    <w:rsid w:val="00EE490A"/>
    <w:rsid w:val="00EE5008"/>
    <w:rsid w:val="00EE51E7"/>
    <w:rsid w:val="00EE7189"/>
    <w:rsid w:val="00EE76D2"/>
    <w:rsid w:val="00EE7CBA"/>
    <w:rsid w:val="00EF0414"/>
    <w:rsid w:val="00EF0AC1"/>
    <w:rsid w:val="00EF156A"/>
    <w:rsid w:val="00EF1B71"/>
    <w:rsid w:val="00EF2211"/>
    <w:rsid w:val="00EF225B"/>
    <w:rsid w:val="00EF320B"/>
    <w:rsid w:val="00EF3DDD"/>
    <w:rsid w:val="00EF4BA2"/>
    <w:rsid w:val="00EF4ECA"/>
    <w:rsid w:val="00EF62A7"/>
    <w:rsid w:val="00EF67D6"/>
    <w:rsid w:val="00EF6B3F"/>
    <w:rsid w:val="00EF70A1"/>
    <w:rsid w:val="00EF76CA"/>
    <w:rsid w:val="00F00747"/>
    <w:rsid w:val="00F00C66"/>
    <w:rsid w:val="00F01B20"/>
    <w:rsid w:val="00F036BA"/>
    <w:rsid w:val="00F03891"/>
    <w:rsid w:val="00F03C3A"/>
    <w:rsid w:val="00F07254"/>
    <w:rsid w:val="00F1039C"/>
    <w:rsid w:val="00F10D46"/>
    <w:rsid w:val="00F11660"/>
    <w:rsid w:val="00F116FE"/>
    <w:rsid w:val="00F119C8"/>
    <w:rsid w:val="00F11BAD"/>
    <w:rsid w:val="00F12E33"/>
    <w:rsid w:val="00F12ECB"/>
    <w:rsid w:val="00F12FE8"/>
    <w:rsid w:val="00F13246"/>
    <w:rsid w:val="00F133F3"/>
    <w:rsid w:val="00F13ADE"/>
    <w:rsid w:val="00F13FC9"/>
    <w:rsid w:val="00F1425E"/>
    <w:rsid w:val="00F143F9"/>
    <w:rsid w:val="00F15103"/>
    <w:rsid w:val="00F15767"/>
    <w:rsid w:val="00F15836"/>
    <w:rsid w:val="00F1599C"/>
    <w:rsid w:val="00F160F0"/>
    <w:rsid w:val="00F16527"/>
    <w:rsid w:val="00F16578"/>
    <w:rsid w:val="00F177B1"/>
    <w:rsid w:val="00F17D3C"/>
    <w:rsid w:val="00F20B77"/>
    <w:rsid w:val="00F20BEA"/>
    <w:rsid w:val="00F2176F"/>
    <w:rsid w:val="00F21B59"/>
    <w:rsid w:val="00F22034"/>
    <w:rsid w:val="00F22704"/>
    <w:rsid w:val="00F23306"/>
    <w:rsid w:val="00F236FF"/>
    <w:rsid w:val="00F24BF4"/>
    <w:rsid w:val="00F24EE3"/>
    <w:rsid w:val="00F2526B"/>
    <w:rsid w:val="00F2676D"/>
    <w:rsid w:val="00F27B6F"/>
    <w:rsid w:val="00F306EB"/>
    <w:rsid w:val="00F31730"/>
    <w:rsid w:val="00F3219D"/>
    <w:rsid w:val="00F32F03"/>
    <w:rsid w:val="00F33789"/>
    <w:rsid w:val="00F339D9"/>
    <w:rsid w:val="00F346C6"/>
    <w:rsid w:val="00F347F5"/>
    <w:rsid w:val="00F349BE"/>
    <w:rsid w:val="00F34AA7"/>
    <w:rsid w:val="00F34F5B"/>
    <w:rsid w:val="00F35374"/>
    <w:rsid w:val="00F35A64"/>
    <w:rsid w:val="00F35D87"/>
    <w:rsid w:val="00F3635A"/>
    <w:rsid w:val="00F37212"/>
    <w:rsid w:val="00F37320"/>
    <w:rsid w:val="00F402B5"/>
    <w:rsid w:val="00F40B4F"/>
    <w:rsid w:val="00F40E2D"/>
    <w:rsid w:val="00F4224A"/>
    <w:rsid w:val="00F423C5"/>
    <w:rsid w:val="00F4240A"/>
    <w:rsid w:val="00F4315F"/>
    <w:rsid w:val="00F43951"/>
    <w:rsid w:val="00F446DF"/>
    <w:rsid w:val="00F46543"/>
    <w:rsid w:val="00F465F1"/>
    <w:rsid w:val="00F4668F"/>
    <w:rsid w:val="00F46850"/>
    <w:rsid w:val="00F46C05"/>
    <w:rsid w:val="00F5023F"/>
    <w:rsid w:val="00F51097"/>
    <w:rsid w:val="00F526BA"/>
    <w:rsid w:val="00F52AEB"/>
    <w:rsid w:val="00F52D8A"/>
    <w:rsid w:val="00F53760"/>
    <w:rsid w:val="00F53B8D"/>
    <w:rsid w:val="00F53F28"/>
    <w:rsid w:val="00F54AA9"/>
    <w:rsid w:val="00F557E8"/>
    <w:rsid w:val="00F61922"/>
    <w:rsid w:val="00F619C0"/>
    <w:rsid w:val="00F629BB"/>
    <w:rsid w:val="00F64022"/>
    <w:rsid w:val="00F64159"/>
    <w:rsid w:val="00F641CD"/>
    <w:rsid w:val="00F64BD5"/>
    <w:rsid w:val="00F657A6"/>
    <w:rsid w:val="00F66C27"/>
    <w:rsid w:val="00F678BC"/>
    <w:rsid w:val="00F702BB"/>
    <w:rsid w:val="00F706C0"/>
    <w:rsid w:val="00F70DF3"/>
    <w:rsid w:val="00F71B2A"/>
    <w:rsid w:val="00F7283C"/>
    <w:rsid w:val="00F72C43"/>
    <w:rsid w:val="00F72FDC"/>
    <w:rsid w:val="00F730B6"/>
    <w:rsid w:val="00F73E8C"/>
    <w:rsid w:val="00F745D5"/>
    <w:rsid w:val="00F74688"/>
    <w:rsid w:val="00F74B0D"/>
    <w:rsid w:val="00F75721"/>
    <w:rsid w:val="00F75D7F"/>
    <w:rsid w:val="00F765AC"/>
    <w:rsid w:val="00F76A94"/>
    <w:rsid w:val="00F7759E"/>
    <w:rsid w:val="00F8065D"/>
    <w:rsid w:val="00F81A35"/>
    <w:rsid w:val="00F82EBF"/>
    <w:rsid w:val="00F83693"/>
    <w:rsid w:val="00F839E9"/>
    <w:rsid w:val="00F850D9"/>
    <w:rsid w:val="00F857BA"/>
    <w:rsid w:val="00F85EA3"/>
    <w:rsid w:val="00F9039E"/>
    <w:rsid w:val="00F90C35"/>
    <w:rsid w:val="00F90D61"/>
    <w:rsid w:val="00F90DF9"/>
    <w:rsid w:val="00F917B4"/>
    <w:rsid w:val="00F91DD9"/>
    <w:rsid w:val="00F9219A"/>
    <w:rsid w:val="00F92923"/>
    <w:rsid w:val="00F939F7"/>
    <w:rsid w:val="00F94B90"/>
    <w:rsid w:val="00F958C2"/>
    <w:rsid w:val="00F958FC"/>
    <w:rsid w:val="00F95AEC"/>
    <w:rsid w:val="00F964E3"/>
    <w:rsid w:val="00F96D19"/>
    <w:rsid w:val="00F97C1C"/>
    <w:rsid w:val="00FA12AA"/>
    <w:rsid w:val="00FA1562"/>
    <w:rsid w:val="00FA1B11"/>
    <w:rsid w:val="00FA2298"/>
    <w:rsid w:val="00FA2E68"/>
    <w:rsid w:val="00FA361F"/>
    <w:rsid w:val="00FA4259"/>
    <w:rsid w:val="00FA48C4"/>
    <w:rsid w:val="00FA4EB7"/>
    <w:rsid w:val="00FA5533"/>
    <w:rsid w:val="00FA67DD"/>
    <w:rsid w:val="00FB114A"/>
    <w:rsid w:val="00FB1A99"/>
    <w:rsid w:val="00FB2F96"/>
    <w:rsid w:val="00FB33E4"/>
    <w:rsid w:val="00FB3A7C"/>
    <w:rsid w:val="00FB3D8E"/>
    <w:rsid w:val="00FB3E53"/>
    <w:rsid w:val="00FB4E23"/>
    <w:rsid w:val="00FB58B6"/>
    <w:rsid w:val="00FB6502"/>
    <w:rsid w:val="00FB7782"/>
    <w:rsid w:val="00FB7E49"/>
    <w:rsid w:val="00FB7FDC"/>
    <w:rsid w:val="00FC024A"/>
    <w:rsid w:val="00FC0792"/>
    <w:rsid w:val="00FC0B4F"/>
    <w:rsid w:val="00FC10D4"/>
    <w:rsid w:val="00FC11A3"/>
    <w:rsid w:val="00FC14FF"/>
    <w:rsid w:val="00FC2041"/>
    <w:rsid w:val="00FC29F6"/>
    <w:rsid w:val="00FC2FB8"/>
    <w:rsid w:val="00FC3DF7"/>
    <w:rsid w:val="00FC4186"/>
    <w:rsid w:val="00FC46FB"/>
    <w:rsid w:val="00FC6DAA"/>
    <w:rsid w:val="00FC7C2D"/>
    <w:rsid w:val="00FC7F24"/>
    <w:rsid w:val="00FD07F0"/>
    <w:rsid w:val="00FD0D19"/>
    <w:rsid w:val="00FD1586"/>
    <w:rsid w:val="00FD1B1D"/>
    <w:rsid w:val="00FD1EA7"/>
    <w:rsid w:val="00FD40F3"/>
    <w:rsid w:val="00FD42D8"/>
    <w:rsid w:val="00FD5284"/>
    <w:rsid w:val="00FD56E5"/>
    <w:rsid w:val="00FD68AC"/>
    <w:rsid w:val="00FD787C"/>
    <w:rsid w:val="00FD7C65"/>
    <w:rsid w:val="00FE04C8"/>
    <w:rsid w:val="00FE0503"/>
    <w:rsid w:val="00FE0EF3"/>
    <w:rsid w:val="00FE1E98"/>
    <w:rsid w:val="00FE2048"/>
    <w:rsid w:val="00FE2285"/>
    <w:rsid w:val="00FE285D"/>
    <w:rsid w:val="00FE3412"/>
    <w:rsid w:val="00FE3C72"/>
    <w:rsid w:val="00FE3D63"/>
    <w:rsid w:val="00FE4E1A"/>
    <w:rsid w:val="00FE5B91"/>
    <w:rsid w:val="00FE658C"/>
    <w:rsid w:val="00FE6C16"/>
    <w:rsid w:val="00FE71DB"/>
    <w:rsid w:val="00FF036F"/>
    <w:rsid w:val="00FF1D38"/>
    <w:rsid w:val="00FF2633"/>
    <w:rsid w:val="00FF39DE"/>
    <w:rsid w:val="00FF3B3C"/>
    <w:rsid w:val="00FF3C30"/>
    <w:rsid w:val="00FF3D8B"/>
    <w:rsid w:val="00FF465B"/>
    <w:rsid w:val="00FF5FB0"/>
    <w:rsid w:val="00FF60CE"/>
    <w:rsid w:val="00FF61B3"/>
    <w:rsid w:val="00FF68F0"/>
    <w:rsid w:val="00FF7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333E3B"/>
  <w15:docId w15:val="{A4EEBC10-3626-4423-A200-8ACE37CB3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0AE2"/>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qFormat/>
    <w:pPr>
      <w:keepNext/>
      <w:outlineLvl w:val="1"/>
    </w:pPr>
    <w:rPr>
      <w:i/>
      <w:iCs/>
      <w:lang w:val="x-none" w:eastAsia="x-non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qFormat/>
    <w:pPr>
      <w:keepNext/>
      <w:ind w:left="360"/>
      <w:outlineLvl w:val="5"/>
    </w:pPr>
    <w:rPr>
      <w:b/>
      <w:bCs/>
      <w:smallCaps/>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rPr>
      <w:lang w:val="x-none" w:eastAsia="x-none"/>
    </w:rPr>
  </w:style>
  <w:style w:type="paragraph" w:styleId="BodyText">
    <w:name w:val="Body Text"/>
    <w:basedOn w:val="Normal"/>
    <w:pPr>
      <w:framePr w:w="3801" w:h="5761" w:hSpace="180" w:wrap="around" w:vAnchor="text" w:hAnchor="page" w:x="6961" w:y="1165"/>
    </w:pPr>
    <w:rPr>
      <w:sz w:val="20"/>
    </w:rPr>
  </w:style>
  <w:style w:type="paragraph" w:styleId="Caption">
    <w:name w:val="caption"/>
    <w:basedOn w:val="Normal"/>
    <w:next w:val="Normal"/>
    <w:uiPriority w:val="99"/>
    <w:qFormat/>
    <w:rPr>
      <w:rFonts w:ascii="Times New Roman Bold" w:hAnsi="Times New Roman Bold"/>
      <w:b/>
      <w:bCs/>
      <w:caps/>
    </w:rPr>
  </w:style>
  <w:style w:type="paragraph" w:styleId="BodyText2">
    <w:name w:val="Body Text 2"/>
    <w:basedOn w:val="Normal"/>
    <w:rPr>
      <w:b/>
      <w:bCs/>
      <w:smallCaps/>
    </w:rPr>
  </w:style>
  <w:style w:type="paragraph" w:customStyle="1" w:styleId="Outline">
    <w:name w:val="Outline"/>
    <w:basedOn w:val="Normal"/>
    <w:pPr>
      <w:spacing w:before="240"/>
    </w:pPr>
    <w:rPr>
      <w:kern w:val="28"/>
      <w:szCs w:val="20"/>
    </w:rPr>
  </w:style>
  <w:style w:type="paragraph" w:styleId="BodyTextIndent2">
    <w:name w:val="Body Text Indent 2"/>
    <w:basedOn w:val="Normal"/>
    <w:pPr>
      <w:ind w:left="360"/>
    </w:pPr>
    <w:rPr>
      <w:i/>
      <w:iCs/>
      <w:sz w:val="22"/>
    </w:rPr>
  </w:style>
  <w:style w:type="character" w:styleId="Hyperlink">
    <w:name w:val="Hyperlink"/>
    <w:rPr>
      <w:color w:val="0000FF"/>
      <w:u w:val="single"/>
    </w:rPr>
  </w:style>
  <w:style w:type="paragraph" w:styleId="BodyTextIndent">
    <w:name w:val="Body Text Indent"/>
    <w:basedOn w:val="Normal"/>
    <w:pPr>
      <w:spacing w:after="80"/>
      <w:ind w:left="1080"/>
      <w:jc w:val="both"/>
    </w:pPr>
  </w:style>
  <w:style w:type="paragraph" w:styleId="BodyTextIndent3">
    <w:name w:val="Body Text Indent 3"/>
    <w:basedOn w:val="Normal"/>
    <w:pPr>
      <w:ind w:left="540"/>
    </w:pPr>
  </w:style>
  <w:style w:type="paragraph" w:styleId="BalloonText">
    <w:name w:val="Balloon Text"/>
    <w:basedOn w:val="Normal"/>
    <w:link w:val="BalloonTextChar"/>
    <w:uiPriority w:val="99"/>
    <w:semiHidden/>
    <w:rsid w:val="00E95B20"/>
    <w:rPr>
      <w:rFonts w:ascii="Tahoma" w:hAnsi="Tahoma"/>
      <w:sz w:val="16"/>
      <w:szCs w:val="16"/>
      <w:lang w:val="x-none" w:eastAsia="x-none"/>
    </w:rPr>
  </w:style>
  <w:style w:type="table" w:styleId="TableGrid">
    <w:name w:val="Table Grid"/>
    <w:basedOn w:val="TableNormal"/>
    <w:uiPriority w:val="39"/>
    <w:rsid w:val="000D0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otnote Text,Footnote,Char Char Char Char,single space,footnote text,Fußnote,ADB Char Char,ADB Char Char Char,ADB Char Char Char Char Char Char Char,ADB Char Char Char Char Char,FOOTNOTES,fn,ft,DNV-FT"/>
    <w:basedOn w:val="Normal"/>
    <w:link w:val="FootnoteTextChar"/>
    <w:qFormat/>
    <w:rsid w:val="00F94B90"/>
    <w:rPr>
      <w:sz w:val="20"/>
      <w:szCs w:val="20"/>
    </w:rPr>
  </w:style>
  <w:style w:type="character" w:styleId="FootnoteReference">
    <w:name w:val="footnote reference"/>
    <w:aliases w:val="16 Point,Superscript 6 Point,Superscript 6 Point + 11 pt,ftref,BVI fnr,BVI fnr Car Car,BVI fnr Car,BVI fnr Car Car Car Car,Footnote text,Знак сноски 1,ftref Char,Error-Fußnotenzeichen5,Error-Fußnotenzeichen6,Error-Fußnotenzeichen3,fr"/>
    <w:link w:val="CharCharCharCharCarChar"/>
    <w:uiPriority w:val="99"/>
    <w:qFormat/>
    <w:rsid w:val="00F94B90"/>
    <w:rPr>
      <w:vertAlign w:val="superscript"/>
    </w:rPr>
  </w:style>
  <w:style w:type="character" w:styleId="FollowedHyperlink">
    <w:name w:val="FollowedHyperlink"/>
    <w:rsid w:val="0038128C"/>
    <w:rPr>
      <w:color w:val="606420"/>
      <w:u w:val="single"/>
    </w:rPr>
  </w:style>
  <w:style w:type="paragraph" w:styleId="DocumentMap">
    <w:name w:val="Document Map"/>
    <w:basedOn w:val="Normal"/>
    <w:semiHidden/>
    <w:rsid w:val="00A73916"/>
    <w:pPr>
      <w:shd w:val="clear" w:color="auto" w:fill="000080"/>
    </w:pPr>
    <w:rPr>
      <w:rFonts w:ascii="Tahoma" w:hAnsi="Tahoma" w:cs="Tahoma"/>
      <w:sz w:val="20"/>
      <w:szCs w:val="20"/>
    </w:rPr>
  </w:style>
  <w:style w:type="paragraph" w:customStyle="1" w:styleId="MainParanoChapter">
    <w:name w:val="Main Para no Chapter #"/>
    <w:basedOn w:val="Normal"/>
    <w:link w:val="MainParanoChapterChar"/>
    <w:autoRedefine/>
    <w:uiPriority w:val="99"/>
    <w:qFormat/>
    <w:rsid w:val="00110321"/>
    <w:pPr>
      <w:numPr>
        <w:numId w:val="1"/>
      </w:numPr>
      <w:spacing w:before="120" w:after="240"/>
      <w:ind w:left="0" w:firstLine="0"/>
      <w:outlineLvl w:val="1"/>
    </w:pPr>
    <w:rPr>
      <w:color w:val="000000"/>
      <w:lang w:val="x-none" w:eastAsia="x-none"/>
    </w:rPr>
  </w:style>
  <w:style w:type="character" w:customStyle="1" w:styleId="FootnoteTextChar">
    <w:name w:val="Footnote Text Char"/>
    <w:aliases w:val="Geneva 9 Char,Font: Geneva 9 Char,Boston 10 Char,f Char,otnote Text Char,Footnote Char,Char Char Char Char Char,single space Char,footnote text Char,Fußnote Char,ADB Char Char Char1,ADB Char Char Char Char,FOOTNOTES Char,fn Char"/>
    <w:basedOn w:val="DefaultParagraphFont"/>
    <w:link w:val="FootnoteText"/>
    <w:locked/>
    <w:rsid w:val="00110321"/>
  </w:style>
  <w:style w:type="character" w:customStyle="1" w:styleId="FooterChar">
    <w:name w:val="Footer Char"/>
    <w:link w:val="Footer"/>
    <w:uiPriority w:val="99"/>
    <w:locked/>
    <w:rsid w:val="00110321"/>
    <w:rPr>
      <w:sz w:val="24"/>
      <w:szCs w:val="24"/>
    </w:rPr>
  </w:style>
  <w:style w:type="character" w:customStyle="1" w:styleId="HeaderChar">
    <w:name w:val="Header Char"/>
    <w:link w:val="Header"/>
    <w:uiPriority w:val="99"/>
    <w:locked/>
    <w:rsid w:val="00110321"/>
    <w:rPr>
      <w:sz w:val="24"/>
      <w:szCs w:val="24"/>
    </w:rPr>
  </w:style>
  <w:style w:type="paragraph" w:styleId="TOC1">
    <w:name w:val="toc 1"/>
    <w:basedOn w:val="Normal"/>
    <w:next w:val="Normal"/>
    <w:autoRedefine/>
    <w:uiPriority w:val="99"/>
    <w:rsid w:val="007B5E5B"/>
    <w:pPr>
      <w:tabs>
        <w:tab w:val="right" w:leader="dot" w:pos="9638"/>
      </w:tabs>
      <w:ind w:left="3600"/>
      <w:jc w:val="right"/>
    </w:pPr>
    <w:rPr>
      <w:b/>
      <w:caps/>
      <w:noProof/>
      <w:sz w:val="22"/>
      <w:szCs w:val="22"/>
    </w:rPr>
  </w:style>
  <w:style w:type="paragraph" w:styleId="ListParagraph">
    <w:name w:val="List Paragraph"/>
    <w:aliases w:val="List Paragraph (bulleted list),Bullet 1 List,Indent Paragraph,List Paragraph (numbered (a)),References,List Paragraph1,Table/Figure Heading,En tête 1"/>
    <w:basedOn w:val="Normal"/>
    <w:link w:val="ListParagraphChar"/>
    <w:autoRedefine/>
    <w:uiPriority w:val="34"/>
    <w:qFormat/>
    <w:rsid w:val="00982B0E"/>
    <w:pPr>
      <w:numPr>
        <w:numId w:val="9"/>
      </w:numPr>
      <w:shd w:val="clear" w:color="auto" w:fill="FFFFFF"/>
      <w:contextualSpacing/>
    </w:pPr>
    <w:rPr>
      <w:noProof/>
      <w:color w:val="000000"/>
      <w:sz w:val="22"/>
      <w:szCs w:val="22"/>
      <w:u w:val="single"/>
    </w:rPr>
  </w:style>
  <w:style w:type="character" w:customStyle="1" w:styleId="MainParanoChapterChar">
    <w:name w:val="Main Para no Chapter # Char"/>
    <w:link w:val="MainParanoChapter"/>
    <w:uiPriority w:val="99"/>
    <w:locked/>
    <w:rsid w:val="00110321"/>
    <w:rPr>
      <w:color w:val="000000"/>
      <w:sz w:val="24"/>
      <w:szCs w:val="24"/>
      <w:lang w:val="x-none" w:eastAsia="x-none"/>
    </w:rPr>
  </w:style>
  <w:style w:type="paragraph" w:styleId="NoSpacing">
    <w:name w:val="No Spacing"/>
    <w:uiPriority w:val="1"/>
    <w:qFormat/>
    <w:rsid w:val="00110321"/>
    <w:rPr>
      <w:rFonts w:ascii="Calibri" w:hAnsi="Calibri"/>
      <w:sz w:val="22"/>
      <w:szCs w:val="22"/>
      <w:lang w:val="en-US"/>
    </w:rPr>
  </w:style>
  <w:style w:type="character" w:customStyle="1" w:styleId="Heading2Char">
    <w:name w:val="Heading 2 Char"/>
    <w:link w:val="Heading2"/>
    <w:rsid w:val="00E7604E"/>
    <w:rPr>
      <w:i/>
      <w:iCs/>
      <w:sz w:val="24"/>
      <w:szCs w:val="24"/>
    </w:rPr>
  </w:style>
  <w:style w:type="character" w:styleId="CommentReference">
    <w:name w:val="annotation reference"/>
    <w:rsid w:val="00E7604E"/>
    <w:rPr>
      <w:sz w:val="16"/>
      <w:szCs w:val="16"/>
    </w:rPr>
  </w:style>
  <w:style w:type="paragraph" w:styleId="CommentText">
    <w:name w:val="annotation text"/>
    <w:basedOn w:val="Normal"/>
    <w:link w:val="CommentTextChar"/>
    <w:rsid w:val="00E7604E"/>
    <w:rPr>
      <w:sz w:val="20"/>
      <w:szCs w:val="20"/>
    </w:rPr>
  </w:style>
  <w:style w:type="character" w:customStyle="1" w:styleId="CommentTextChar">
    <w:name w:val="Comment Text Char"/>
    <w:basedOn w:val="DefaultParagraphFont"/>
    <w:link w:val="CommentText"/>
    <w:rsid w:val="00E7604E"/>
  </w:style>
  <w:style w:type="paragraph" w:styleId="CommentSubject">
    <w:name w:val="annotation subject"/>
    <w:basedOn w:val="CommentText"/>
    <w:next w:val="CommentText"/>
    <w:link w:val="CommentSubjectChar"/>
    <w:rsid w:val="00E7604E"/>
    <w:rPr>
      <w:b/>
      <w:bCs/>
      <w:lang w:val="x-none" w:eastAsia="x-none"/>
    </w:rPr>
  </w:style>
  <w:style w:type="character" w:customStyle="1" w:styleId="CommentSubjectChar">
    <w:name w:val="Comment Subject Char"/>
    <w:link w:val="CommentSubject"/>
    <w:rsid w:val="00E7604E"/>
    <w:rPr>
      <w:b/>
      <w:bCs/>
    </w:rPr>
  </w:style>
  <w:style w:type="character" w:customStyle="1" w:styleId="BalloonTextChar">
    <w:name w:val="Balloon Text Char"/>
    <w:link w:val="BalloonText"/>
    <w:uiPriority w:val="99"/>
    <w:semiHidden/>
    <w:rsid w:val="003729CF"/>
    <w:rPr>
      <w:rFonts w:ascii="Tahoma" w:hAnsi="Tahoma" w:cs="Tahoma"/>
      <w:sz w:val="16"/>
      <w:szCs w:val="16"/>
    </w:rPr>
  </w:style>
  <w:style w:type="character" w:styleId="PlaceholderText">
    <w:name w:val="Placeholder Text"/>
    <w:uiPriority w:val="99"/>
    <w:semiHidden/>
    <w:rsid w:val="004F39EC"/>
    <w:rPr>
      <w:color w:val="808080"/>
    </w:rPr>
  </w:style>
  <w:style w:type="paragraph" w:customStyle="1" w:styleId="GEFFieldtoFillout">
    <w:name w:val="GEF Field to Fill out"/>
    <w:basedOn w:val="Normal"/>
    <w:link w:val="GEFFieldtoFilloutChar"/>
    <w:qFormat/>
    <w:rsid w:val="00017316"/>
    <w:pPr>
      <w:ind w:left="-720"/>
    </w:pPr>
    <w:rPr>
      <w:color w:val="000000"/>
      <w:sz w:val="22"/>
      <w:szCs w:val="22"/>
    </w:rPr>
  </w:style>
  <w:style w:type="paragraph" w:customStyle="1" w:styleId="GEFPartHeading">
    <w:name w:val="GEF Part Heading"/>
    <w:basedOn w:val="ListParagraph"/>
    <w:qFormat/>
    <w:rsid w:val="004C5225"/>
    <w:pPr>
      <w:spacing w:before="120"/>
      <w:outlineLvl w:val="0"/>
    </w:pPr>
    <w:rPr>
      <w:caps/>
    </w:rPr>
  </w:style>
  <w:style w:type="paragraph" w:customStyle="1" w:styleId="GEFTableHeading">
    <w:name w:val="GEF Table Heading"/>
    <w:basedOn w:val="Normal"/>
    <w:next w:val="Normal"/>
    <w:qFormat/>
    <w:rsid w:val="002B2C06"/>
    <w:pPr>
      <w:ind w:left="-720"/>
    </w:pPr>
    <w:rPr>
      <w:rFonts w:ascii="Times New Roman Bold" w:hAnsi="Times New Roman Bold"/>
      <w:b/>
      <w:bCs/>
      <w:smallCaps/>
      <w:color w:val="000000"/>
      <w:sz w:val="22"/>
      <w:szCs w:val="22"/>
    </w:rPr>
  </w:style>
  <w:style w:type="paragraph" w:customStyle="1" w:styleId="GEFInstruction">
    <w:name w:val="GEF Instruction"/>
    <w:basedOn w:val="Normal"/>
    <w:next w:val="Normal"/>
    <w:qFormat/>
    <w:rsid w:val="002B2C06"/>
    <w:pPr>
      <w:ind w:left="-540"/>
    </w:pPr>
    <w:rPr>
      <w:sz w:val="20"/>
    </w:rPr>
  </w:style>
  <w:style w:type="paragraph" w:customStyle="1" w:styleId="GEFQuestion">
    <w:name w:val="GEF Question"/>
    <w:basedOn w:val="Normal"/>
    <w:next w:val="Normal"/>
    <w:qFormat/>
    <w:rsid w:val="002B2C06"/>
    <w:pPr>
      <w:ind w:left="-720"/>
    </w:pPr>
    <w:rPr>
      <w:sz w:val="22"/>
    </w:rPr>
  </w:style>
  <w:style w:type="character" w:customStyle="1" w:styleId="GEFFieldtoFilloutChar">
    <w:name w:val="GEF Field to Fill out Char"/>
    <w:link w:val="GEFFieldtoFillout"/>
    <w:rsid w:val="00CB454A"/>
    <w:rPr>
      <w:color w:val="000000"/>
      <w:sz w:val="22"/>
      <w:szCs w:val="22"/>
      <w:lang w:eastAsia="en-US"/>
    </w:rPr>
  </w:style>
  <w:style w:type="paragraph" w:styleId="Revision">
    <w:name w:val="Revision"/>
    <w:hidden/>
    <w:uiPriority w:val="99"/>
    <w:semiHidden/>
    <w:rsid w:val="001D035D"/>
    <w:rPr>
      <w:sz w:val="24"/>
      <w:szCs w:val="24"/>
      <w:lang w:val="en-US"/>
    </w:rPr>
  </w:style>
  <w:style w:type="paragraph" w:customStyle="1" w:styleId="xmsonormal">
    <w:name w:val="x_msonormal"/>
    <w:basedOn w:val="Normal"/>
    <w:rsid w:val="00F52AEB"/>
    <w:rPr>
      <w:rFonts w:ascii="Calibri" w:eastAsia="Calibri" w:hAnsi="Calibri" w:cs="Calibri"/>
      <w:sz w:val="22"/>
      <w:szCs w:val="22"/>
    </w:rPr>
  </w:style>
  <w:style w:type="character" w:customStyle="1" w:styleId="UnresolvedMention1">
    <w:name w:val="Unresolved Mention1"/>
    <w:uiPriority w:val="99"/>
    <w:semiHidden/>
    <w:unhideWhenUsed/>
    <w:rsid w:val="00844607"/>
    <w:rPr>
      <w:color w:val="808080"/>
      <w:shd w:val="clear" w:color="auto" w:fill="E6E6E6"/>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737402"/>
    <w:pPr>
      <w:spacing w:after="160" w:line="240" w:lineRule="exact"/>
      <w:jc w:val="both"/>
    </w:pPr>
    <w:rPr>
      <w:sz w:val="20"/>
      <w:szCs w:val="20"/>
      <w:vertAlign w:val="superscript"/>
    </w:rPr>
  </w:style>
  <w:style w:type="character" w:customStyle="1" w:styleId="ListParagraphChar">
    <w:name w:val="List Paragraph Char"/>
    <w:aliases w:val="List Paragraph (bulleted list) Char,Bullet 1 List Char,Indent Paragraph Char,List Paragraph (numbered (a)) Char,References Char,List Paragraph1 Char,Table/Figure Heading Char,En tête 1 Char"/>
    <w:link w:val="ListParagraph"/>
    <w:uiPriority w:val="34"/>
    <w:locked/>
    <w:rsid w:val="00982B0E"/>
    <w:rPr>
      <w:noProof/>
      <w:color w:val="000000"/>
      <w:sz w:val="22"/>
      <w:szCs w:val="22"/>
      <w:u w:val="single"/>
      <w:shd w:val="clear" w:color="auto" w:fill="FFFFFF"/>
    </w:rPr>
  </w:style>
  <w:style w:type="character" w:styleId="Strong">
    <w:name w:val="Strong"/>
    <w:basedOn w:val="DefaultParagraphFont"/>
    <w:uiPriority w:val="22"/>
    <w:qFormat/>
    <w:rsid w:val="00114D4F"/>
    <w:rPr>
      <w:b/>
      <w:bCs/>
    </w:rPr>
  </w:style>
  <w:style w:type="character" w:customStyle="1" w:styleId="apple-converted-space">
    <w:name w:val="apple-converted-space"/>
    <w:basedOn w:val="DefaultParagraphFont"/>
    <w:rsid w:val="00F90C35"/>
  </w:style>
  <w:style w:type="paragraph" w:customStyle="1" w:styleId="Default">
    <w:name w:val="Default"/>
    <w:rsid w:val="00A92C5B"/>
    <w:pPr>
      <w:autoSpaceDE w:val="0"/>
      <w:autoSpaceDN w:val="0"/>
      <w:adjustRightInd w:val="0"/>
    </w:pPr>
    <w:rPr>
      <w:color w:val="000000"/>
      <w:sz w:val="24"/>
      <w:szCs w:val="24"/>
      <w:lang w:val="en-US"/>
    </w:rPr>
  </w:style>
  <w:style w:type="character" w:customStyle="1" w:styleId="ilfuvd">
    <w:name w:val="ilfuvd"/>
    <w:basedOn w:val="DefaultParagraphFont"/>
    <w:rsid w:val="00834E3E"/>
  </w:style>
  <w:style w:type="character" w:customStyle="1" w:styleId="citationref">
    <w:name w:val="citationref"/>
    <w:basedOn w:val="DefaultParagraphFont"/>
    <w:rsid w:val="00F95AEC"/>
  </w:style>
  <w:style w:type="character" w:styleId="UnresolvedMention">
    <w:name w:val="Unresolved Mention"/>
    <w:basedOn w:val="DefaultParagraphFont"/>
    <w:uiPriority w:val="99"/>
    <w:semiHidden/>
    <w:unhideWhenUsed/>
    <w:rsid w:val="00DA6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526">
      <w:bodyDiv w:val="1"/>
      <w:marLeft w:val="0"/>
      <w:marRight w:val="0"/>
      <w:marTop w:val="0"/>
      <w:marBottom w:val="0"/>
      <w:divBdr>
        <w:top w:val="none" w:sz="0" w:space="0" w:color="auto"/>
        <w:left w:val="none" w:sz="0" w:space="0" w:color="auto"/>
        <w:bottom w:val="none" w:sz="0" w:space="0" w:color="auto"/>
        <w:right w:val="none" w:sz="0" w:space="0" w:color="auto"/>
      </w:divBdr>
    </w:div>
    <w:div w:id="304354464">
      <w:bodyDiv w:val="1"/>
      <w:marLeft w:val="0"/>
      <w:marRight w:val="0"/>
      <w:marTop w:val="0"/>
      <w:marBottom w:val="0"/>
      <w:divBdr>
        <w:top w:val="none" w:sz="0" w:space="0" w:color="auto"/>
        <w:left w:val="none" w:sz="0" w:space="0" w:color="auto"/>
        <w:bottom w:val="none" w:sz="0" w:space="0" w:color="auto"/>
        <w:right w:val="none" w:sz="0" w:space="0" w:color="auto"/>
      </w:divBdr>
    </w:div>
    <w:div w:id="406271740">
      <w:bodyDiv w:val="1"/>
      <w:marLeft w:val="0"/>
      <w:marRight w:val="0"/>
      <w:marTop w:val="0"/>
      <w:marBottom w:val="0"/>
      <w:divBdr>
        <w:top w:val="none" w:sz="0" w:space="0" w:color="auto"/>
        <w:left w:val="none" w:sz="0" w:space="0" w:color="auto"/>
        <w:bottom w:val="none" w:sz="0" w:space="0" w:color="auto"/>
        <w:right w:val="none" w:sz="0" w:space="0" w:color="auto"/>
      </w:divBdr>
    </w:div>
    <w:div w:id="493255649">
      <w:bodyDiv w:val="1"/>
      <w:marLeft w:val="0"/>
      <w:marRight w:val="0"/>
      <w:marTop w:val="0"/>
      <w:marBottom w:val="0"/>
      <w:divBdr>
        <w:top w:val="none" w:sz="0" w:space="0" w:color="auto"/>
        <w:left w:val="none" w:sz="0" w:space="0" w:color="auto"/>
        <w:bottom w:val="none" w:sz="0" w:space="0" w:color="auto"/>
        <w:right w:val="none" w:sz="0" w:space="0" w:color="auto"/>
      </w:divBdr>
    </w:div>
    <w:div w:id="641009333">
      <w:bodyDiv w:val="1"/>
      <w:marLeft w:val="0"/>
      <w:marRight w:val="0"/>
      <w:marTop w:val="0"/>
      <w:marBottom w:val="0"/>
      <w:divBdr>
        <w:top w:val="none" w:sz="0" w:space="0" w:color="auto"/>
        <w:left w:val="none" w:sz="0" w:space="0" w:color="auto"/>
        <w:bottom w:val="none" w:sz="0" w:space="0" w:color="auto"/>
        <w:right w:val="none" w:sz="0" w:space="0" w:color="auto"/>
      </w:divBdr>
    </w:div>
    <w:div w:id="725297986">
      <w:bodyDiv w:val="1"/>
      <w:marLeft w:val="0"/>
      <w:marRight w:val="0"/>
      <w:marTop w:val="0"/>
      <w:marBottom w:val="0"/>
      <w:divBdr>
        <w:top w:val="none" w:sz="0" w:space="0" w:color="auto"/>
        <w:left w:val="none" w:sz="0" w:space="0" w:color="auto"/>
        <w:bottom w:val="none" w:sz="0" w:space="0" w:color="auto"/>
        <w:right w:val="none" w:sz="0" w:space="0" w:color="auto"/>
      </w:divBdr>
    </w:div>
    <w:div w:id="739133522">
      <w:bodyDiv w:val="1"/>
      <w:marLeft w:val="0"/>
      <w:marRight w:val="0"/>
      <w:marTop w:val="0"/>
      <w:marBottom w:val="0"/>
      <w:divBdr>
        <w:top w:val="none" w:sz="0" w:space="0" w:color="auto"/>
        <w:left w:val="none" w:sz="0" w:space="0" w:color="auto"/>
        <w:bottom w:val="none" w:sz="0" w:space="0" w:color="auto"/>
        <w:right w:val="none" w:sz="0" w:space="0" w:color="auto"/>
      </w:divBdr>
    </w:div>
    <w:div w:id="1488325761">
      <w:bodyDiv w:val="1"/>
      <w:marLeft w:val="0"/>
      <w:marRight w:val="0"/>
      <w:marTop w:val="0"/>
      <w:marBottom w:val="0"/>
      <w:divBdr>
        <w:top w:val="none" w:sz="0" w:space="0" w:color="auto"/>
        <w:left w:val="none" w:sz="0" w:space="0" w:color="auto"/>
        <w:bottom w:val="none" w:sz="0" w:space="0" w:color="auto"/>
        <w:right w:val="none" w:sz="0" w:space="0" w:color="auto"/>
      </w:divBdr>
    </w:div>
    <w:div w:id="1578972863">
      <w:bodyDiv w:val="1"/>
      <w:marLeft w:val="0"/>
      <w:marRight w:val="0"/>
      <w:marTop w:val="0"/>
      <w:marBottom w:val="0"/>
      <w:divBdr>
        <w:top w:val="none" w:sz="0" w:space="0" w:color="auto"/>
        <w:left w:val="none" w:sz="0" w:space="0" w:color="auto"/>
        <w:bottom w:val="none" w:sz="0" w:space="0" w:color="auto"/>
        <w:right w:val="none" w:sz="0" w:space="0" w:color="auto"/>
      </w:divBdr>
    </w:div>
    <w:div w:id="1593780227">
      <w:bodyDiv w:val="1"/>
      <w:marLeft w:val="0"/>
      <w:marRight w:val="0"/>
      <w:marTop w:val="0"/>
      <w:marBottom w:val="0"/>
      <w:divBdr>
        <w:top w:val="none" w:sz="0" w:space="0" w:color="auto"/>
        <w:left w:val="none" w:sz="0" w:space="0" w:color="auto"/>
        <w:bottom w:val="none" w:sz="0" w:space="0" w:color="auto"/>
        <w:right w:val="none" w:sz="0" w:space="0" w:color="auto"/>
      </w:divBdr>
    </w:div>
    <w:div w:id="1647665096">
      <w:bodyDiv w:val="1"/>
      <w:marLeft w:val="0"/>
      <w:marRight w:val="0"/>
      <w:marTop w:val="0"/>
      <w:marBottom w:val="0"/>
      <w:divBdr>
        <w:top w:val="none" w:sz="0" w:space="0" w:color="auto"/>
        <w:left w:val="none" w:sz="0" w:space="0" w:color="auto"/>
        <w:bottom w:val="none" w:sz="0" w:space="0" w:color="auto"/>
        <w:right w:val="none" w:sz="0" w:space="0" w:color="auto"/>
      </w:divBdr>
    </w:div>
    <w:div w:id="1762488852">
      <w:bodyDiv w:val="1"/>
      <w:marLeft w:val="0"/>
      <w:marRight w:val="0"/>
      <w:marTop w:val="0"/>
      <w:marBottom w:val="0"/>
      <w:divBdr>
        <w:top w:val="none" w:sz="0" w:space="0" w:color="auto"/>
        <w:left w:val="none" w:sz="0" w:space="0" w:color="auto"/>
        <w:bottom w:val="none" w:sz="0" w:space="0" w:color="auto"/>
        <w:right w:val="none" w:sz="0" w:space="0" w:color="auto"/>
      </w:divBdr>
    </w:div>
    <w:div w:id="1907061988">
      <w:bodyDiv w:val="1"/>
      <w:marLeft w:val="0"/>
      <w:marRight w:val="0"/>
      <w:marTop w:val="0"/>
      <w:marBottom w:val="0"/>
      <w:divBdr>
        <w:top w:val="none" w:sz="0" w:space="0" w:color="auto"/>
        <w:left w:val="none" w:sz="0" w:space="0" w:color="auto"/>
        <w:bottom w:val="none" w:sz="0" w:space="0" w:color="auto"/>
        <w:right w:val="none" w:sz="0" w:space="0" w:color="auto"/>
      </w:divBdr>
    </w:div>
    <w:div w:id="1980382191">
      <w:bodyDiv w:val="1"/>
      <w:marLeft w:val="0"/>
      <w:marRight w:val="0"/>
      <w:marTop w:val="0"/>
      <w:marBottom w:val="0"/>
      <w:divBdr>
        <w:top w:val="none" w:sz="0" w:space="0" w:color="auto"/>
        <w:left w:val="none" w:sz="0" w:space="0" w:color="auto"/>
        <w:bottom w:val="none" w:sz="0" w:space="0" w:color="auto"/>
        <w:right w:val="none" w:sz="0" w:space="0" w:color="auto"/>
      </w:divBdr>
    </w:div>
    <w:div w:id="209840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footnotes.xml.rels><?xml version="1.0" encoding="UTF-8" standalone="yes"?>
<Relationships xmlns="http://schemas.openxmlformats.org/package/2006/relationships"><Relationship Id="rId3" Type="http://schemas.openxmlformats.org/officeDocument/2006/relationships/hyperlink" Target="http://www.un-gsp.org/" TargetMode="External"/><Relationship Id="rId2" Type="http://schemas.openxmlformats.org/officeDocument/2006/relationships/hyperlink" Target="http://environment.govmu.org/English/Climate_Change/Pages/CCIC.aspx" TargetMode="External"/><Relationship Id="rId1" Type="http://schemas.openxmlformats.org/officeDocument/2006/relationships/hyperlink" Target="https://cdm.unfccc.int/methodologies/standard_base/Grid_emission_Mauritius.pdf" TargetMode="External"/><Relationship Id="rId4" Type="http://schemas.openxmlformats.org/officeDocument/2006/relationships/hyperlink" Target="https://www.cbitplatfo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FE7AF24C04954491C86467E44D5D3F" ma:contentTypeVersion="1" ma:contentTypeDescription="Create a new document." ma:contentTypeScope="" ma:versionID="a2d20bfa859f81238ec0f30d82f64af7">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4A17C-7994-4D71-9961-1459FFC57AE5}"/>
</file>

<file path=customXml/itemProps2.xml><?xml version="1.0" encoding="utf-8"?>
<ds:datastoreItem xmlns:ds="http://schemas.openxmlformats.org/officeDocument/2006/customXml" ds:itemID="{DA0FEB76-99AC-4003-B7D2-14337051C63E}"/>
</file>

<file path=customXml/itemProps3.xml><?xml version="1.0" encoding="utf-8"?>
<ds:datastoreItem xmlns:ds="http://schemas.openxmlformats.org/officeDocument/2006/customXml" ds:itemID="{56DE8974-05FF-4991-BE89-9DBB07D4CD91}"/>
</file>

<file path=customXml/itemProps4.xml><?xml version="1.0" encoding="utf-8"?>
<ds:datastoreItem xmlns:ds="http://schemas.openxmlformats.org/officeDocument/2006/customXml" ds:itemID="{43E77E66-4A77-4F07-9597-6BB6E1E0F7AD}"/>
</file>

<file path=docProps/app.xml><?xml version="1.0" encoding="utf-8"?>
<Properties xmlns="http://schemas.openxmlformats.org/officeDocument/2006/extended-properties" xmlns:vt="http://schemas.openxmlformats.org/officeDocument/2006/docPropsVTypes">
  <Template>Normal</Template>
  <TotalTime>0</TotalTime>
  <Pages>30</Pages>
  <Words>15642</Words>
  <Characters>89160</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FINANCING PLAN (IN US$):</vt:lpstr>
    </vt:vector>
  </TitlesOfParts>
  <Company>World Bank Group</Company>
  <LinksUpToDate>false</LinksUpToDate>
  <CharactersWithSpaces>104593</CharactersWithSpaces>
  <SharedDoc>false</SharedDoc>
  <HLinks>
    <vt:vector size="12" baseType="variant">
      <vt:variant>
        <vt:i4>2359321</vt:i4>
      </vt:variant>
      <vt:variant>
        <vt:i4>3</vt:i4>
      </vt:variant>
      <vt:variant>
        <vt:i4>0</vt:i4>
      </vt:variant>
      <vt:variant>
        <vt:i4>5</vt:i4>
      </vt:variant>
      <vt:variant>
        <vt:lpwstr>http://environment.govmu.org/English/Climate_Change/Pages/CCIC.aspx</vt:lpwstr>
      </vt:variant>
      <vt:variant>
        <vt:lpwstr/>
      </vt:variant>
      <vt:variant>
        <vt:i4>3014745</vt:i4>
      </vt:variant>
      <vt:variant>
        <vt:i4>0</vt:i4>
      </vt:variant>
      <vt:variant>
        <vt:i4>0</vt:i4>
      </vt:variant>
      <vt:variant>
        <vt:i4>5</vt:i4>
      </vt:variant>
      <vt:variant>
        <vt:lpwstr>https://cdm.unfccc.int/methodologies/standard_base/Grid_emission_Mauritius.pdf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PLAN (IN US$):</dc:title>
  <dc:creator>Ramon Prudencio C. de Mesa</dc:creator>
  <cp:keywords>Comments</cp:keywords>
  <cp:lastModifiedBy>Anishta Heeramun</cp:lastModifiedBy>
  <cp:revision>2</cp:revision>
  <cp:lastPrinted>2019-05-07T09:54:00Z</cp:lastPrinted>
  <dcterms:created xsi:type="dcterms:W3CDTF">2020-01-03T07:41:00Z</dcterms:created>
  <dcterms:modified xsi:type="dcterms:W3CDTF">2020-01-03T07:41:00Z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210833878</vt:i4>
  </property>
  <property fmtid="{D5CDD505-2E9C-101B-9397-08002B2CF9AE}" pid="3" name="ContentTypeId">
    <vt:lpwstr>0x01010081FE7AF24C04954491C86467E44D5D3F</vt:lpwstr>
  </property>
</Properties>
</file>